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MISSAufstV — Zeitpunkt, Dauer und Ziel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An den erfolgreichen Abschluss des Masterstudiengangs „Intelligence and Security Studies“ schließt sich eine einjährige berufspraktische Einführung an. Für Verlängerungen der berufspraktischen Einführung gilt § 18 Absatz 1 und 2 der Bundeslaufbahnverordnung entsprechend. Über die Verlängerung entscheidet die Dienstbehörde.</w:t>
      </w:r>
    </w:p>
    <w:p>
      <w:r>
        <w:t xml:space="preserve">(2) In der berufspraktischen Einführung sollen sich die Beamtinnen und Beamten im höheren nichttechnischen Verwaltungsdienst des Bundes bewähren.</w:t>
      </w:r>
    </w:p>
    <w:p>
      <w:r>
        <w:rPr>
          <w:color w:val="555555"/>
          <w:sz w:val="17"/>
        </w:rPr>
        <w:t xml:space="preserve">Zitiervorschlag: § 14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