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MISSAufstV — Abschlusszeugnis</w:t>
      </w:r>
    </w:p>
    <w:p>
      <w:r>
        <w:rPr>
          <w:color w:val="555555"/>
          <w:sz w:val="18"/>
        </w:rPr>
        <w:t xml:space="preserve">Verordnung über den Aufstieg in den höheren nichttechnischen Verwaltungsdienst über den Masterstudiengang „Intelligence and Security Studies“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das Studium erfolgreich abgeschlossen hat, erhält ein Abschlusszeugnis.</w:t>
      </w:r>
    </w:p>
    <w:p>
      <w:r>
        <w:t xml:space="preserve">(2) Im Abschlusszeugnis sind anzugeben</w:t>
      </w:r>
    </w:p>
    <w:p>
      <w:pPr>
        <w:ind w:left="420"/>
      </w:pPr>
      <w:r>
        <w:t xml:space="preserve">1. die Feststellung, dass die Masterprüfung bestanden worden ist,</w:t>
      </w:r>
    </w:p>
    <w:p>
      <w:pPr>
        <w:ind w:left="420"/>
      </w:pPr>
      <w:r>
        <w:t xml:space="preserve">2. die in den Modulen erzielten Noten,</w:t>
      </w:r>
    </w:p>
    <w:p>
      <w:pPr>
        <w:ind w:left="420"/>
      </w:pPr>
      <w:r>
        <w:t xml:space="preserve">3. das Thema der Masterarbeit sowie</w:t>
      </w:r>
    </w:p>
    <w:p>
      <w:pPr>
        <w:ind w:left="420"/>
      </w:pPr>
      <w:r>
        <w:t xml:space="preserve">4. die Gesamtnote.</w:t>
      </w:r>
    </w:p>
    <w:p>
      <w:r>
        <w:rPr>
          <w:color w:val="555555"/>
          <w:sz w:val="17"/>
        </w:rPr>
        <w:t xml:space="preserve">Zitiervorschlag: § 11 MISSAufstV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https://recht.nulegal.eu/gesetze/MISSAufstV/11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