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MISSAufstV — Zulassungsvoraussetzungen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Zum Aufstieg in den höheren nichttechnischen Verwaltungsdienst über den Masterstudiengang „Intelligence and Security Studies“ können Beamtinnen und Beamte zugelassen werden, die</w:t>
      </w:r>
    </w:p>
    <w:p>
      <w:pPr>
        <w:ind w:left="420"/>
      </w:pPr>
      <w:r>
        <w:t xml:space="preserve">1. über die Laufbahnbefähigung für den gehobenen nichttechnischen Verwaltungsdienst verfügen und</w:t>
      </w:r>
    </w:p>
    <w:p>
      <w:pPr>
        <w:ind w:left="420"/>
      </w:pPr>
      <w:r>
        <w:t xml:space="preserve">2. einen Abschluss erreicht haben, der mit einem an einer Hochschule erworbenen Bachelor- oder einem gleichwertigen Abschluss, der Kompetenzen in einem Umfang von mindestens 180 Leistungspunkten entspricht, gleichwertig ist.</w:t>
      </w:r>
    </w:p>
    <w:p>
      <w:r>
        <w:t xml:space="preserve">(2) Im Übrigen bleibt § 44 der Bundeslaufbahnverordnung unberührt.</w:t>
      </w:r>
    </w:p>
    <w:p>
      <w:r>
        <w:rPr>
          <w:color w:val="555555"/>
          <w:sz w:val="17"/>
        </w:rPr>
        <w:t xml:space="preserve">Zitiervorschlag: § 1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