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MForschG</w:t>
      </w:r>
    </w:p>
    <w:p>
      <w:r>
        <w:rPr>
          <w:color w:val="555555"/>
          <w:sz w:val="18"/>
        </w:rPr>
        <w:t xml:space="preserve">Gesetz über die Durchführung wissenschaftlicher Meeresforschung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der §§ 3d, 4 und 8, auch in Verbindung mit § 21, des Seeaufgabengesetzes in der Fassung der Bekanntmachung vom 27. September 1994 (BGBl. I S. 2802), das durch Artikel 1 des Gesetzes vom 6. Juni 1995 (BGBl. I S. 778) geändert worden ist, gelten entsprechend.</w:t>
      </w:r>
    </w:p>
    <w:p>
      <w:r>
        <w:rPr>
          <w:color w:val="555555"/>
          <w:sz w:val="17"/>
        </w:rPr>
        <w:t xml:space="preserve">Zitiervorschlag: § 4 MForschG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https://recht.nulegal.eu/gesetze/MForschG/4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