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MFKRegV</w:t>
      </w:r>
    </w:p>
    <w:p>
      <w:r>
        <w:rPr>
          <w:color w:val="555555"/>
          <w:sz w:val="18"/>
        </w:rPr>
        <w:t xml:space="preserve">Verbandsklageregisterverordnung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609 Absatz 7 der Zivilprozessordnung, der durch Artikel 2 Nummer 5 des Gesetzes vom 12. Juli 2018 (BGBl. I S. 1151) neu gefasst worden ist, verordnet das Bundesministerium der Justiz und für Verbraucherschutz:</w:t>
      </w:r>
    </w:p>
    <w:p>
      <w:r>
        <w:rPr>
          <w:color w:val="555555"/>
          <w:sz w:val="17"/>
        </w:rPr>
        <w:t xml:space="preserve">Zitiervorschlag: Eingangsformel MFKRegV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https://recht.nulegal.eu/gesetze/MFKRegV/eingangsformel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