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MFKRegV — Inkrafttreten</w:t>
      </w:r>
    </w:p>
    <w:p>
      <w:r>
        <w:rPr>
          <w:color w:val="555555"/>
          <w:sz w:val="18"/>
        </w:rPr>
        <w:t xml:space="preserve">Verbandsklageregisterverordnung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Diese Verordnung tritt am 1. November 2018 in Kraft.</w:t>
      </w:r>
    </w:p>
    <w:p>
      <w:r>
        <w:rPr>
          <w:color w:val="555555"/>
          <w:sz w:val="17"/>
        </w:rPr>
        <w:t xml:space="preserve">Zitiervorschlag: § 8 MFKRegV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https://recht.nulegal.eu/gesetze/MFKRegV/8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