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MFKRegV — Öffentliche Bekanntmachungen und Mitteilungen des Gerichts</w:t>
      </w:r>
    </w:p>
    <w:p>
      <w:r>
        <w:rPr>
          <w:color w:val="555555"/>
          <w:sz w:val="18"/>
        </w:rPr>
        <w:t xml:space="preserve">Verbandsklageregisterverordnung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Öffentlich bekannt zu machen sind</w:t>
      </w:r>
    </w:p>
    <w:p>
      <w:pPr>
        <w:ind w:left="420"/>
      </w:pPr>
      <w:r>
        <w:t xml:space="preserve">1. zu Verbandsklagen nach dem Verbraucherrechtedurchsetzungsgesetz die Angaben nach § 44 des Verbraucherrechtedurchsetzungsgesetzes,</w:t>
      </w:r>
    </w:p>
    <w:p>
      <w:pPr>
        <w:ind w:left="420"/>
      </w:pPr>
      <w:r>
        <w:t xml:space="preserve">2. zu einstweiligen Verfügungen die Angaben nach § 6a Absatz 1 und 3 des Unterlassungsklagengesetzes und</w:t>
      </w:r>
    </w:p>
    <w:p>
      <w:pPr>
        <w:ind w:left="420"/>
      </w:pPr>
      <w:r>
        <w:t xml:space="preserve">3. zu Unterlassungsklagen die Angaben nach § 6a Absatz 2 und 3 des Unterlassungsklagengesetzes.</w:t>
      </w:r>
    </w:p>
    <w:p>
      <w:r>
        <w:t xml:space="preserve">Das Datum der öffentlichen Bekanntmachung ist jeweils anzugeben.</w:t>
      </w:r>
    </w:p>
    <w:p>
      <w:r>
        <w:t xml:space="preserve">(2) Das Gericht übermittelt die bekannt zu machenden Angaben als strukturierten maschinenlesbaren Datensatz im Dateiformat XML in der jeweils gültigen XJustiz-Version oder im Dateiformat PDF auf einem sicheren Übermittlungsweg (§ 130a Absatz 4 der Zivilprozessordnung) an das Bundesamt für Justiz.</w:t>
      </w:r>
    </w:p>
    <w:p>
      <w:r>
        <w:t xml:space="preserve">(3) Der Antrag auf Bekanntmachung des Zustellungsdatums einer einstweiligen Verfügung nach § 6a Absatz 1 Satz 4 des Unterlassungsklagengesetzes ist schriftlich zu stellen.</w:t>
      </w:r>
    </w:p>
    <w:p>
      <w:r>
        <w:rPr>
          <w:color w:val="555555"/>
          <w:sz w:val="17"/>
        </w:rPr>
        <w:t xml:space="preserve">Zitiervorschlag: § 2 MFKRegV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https://recht.nulegal.eu/gesetze/MFKRegV/2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