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MFFPrV — (zu den §§ 27 und 28)Bewertungsmaßstab und -schlüssel</w:t>
      </w:r>
    </w:p>
    <w:p>
      <w:r>
        <w:rPr>
          <w:color w:val="555555"/>
          <w:sz w:val="18"/>
        </w:rPr>
        <w:t xml:space="preserve">Medienfachwirt-Fortbildungsprüfungsverordnung</w:t>
      </w:r>
    </w:p>
    <w:p>
      <w:r>
        <w:rPr>
          <w:color w:val="555555"/>
          <w:sz w:val="18"/>
        </w:rPr>
        <w:t xml:space="preserve">Historische Fassung: Stand 10.01.2020 bis 22.12.2020. Dies ist nicht die aktuelle Fassung.</w:t>
      </w:r>
    </w:p>
    <w:p>
      <w:r>
        <w:t xml:space="preserve">(Fundstelle: BGBl. I 2019, 1972 - 1973)</w:t>
      </w:r>
    </w:p>
    <w:p>
      <w:r>
        <w:rPr>
          <w:rFonts w:ascii="Courier New" w:hAnsi="Courier New"/>
          <w:sz w:val="17"/>
        </w:rPr>
        <w:t xml:space="preserve">Punkte    Note 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MFFPrV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https://recht.nulegal.eu/gesetze/MFFPrV/anlage-1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