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MFFPrV — Situationsaufgabe aus dem Handlungsbereich „Führung und Organisation“</w:t>
      </w:r>
    </w:p>
    <w:p>
      <w:r>
        <w:rPr>
          <w:color w:val="555555"/>
          <w:sz w:val="18"/>
        </w:rPr>
        <w:t xml:space="preserve">Medienfachwirt-Fortbildungsprüfungsverordnung</w:t>
      </w:r>
    </w:p>
    <w:p>
      <w:r>
        <w:rPr>
          <w:color w:val="555555"/>
          <w:sz w:val="18"/>
        </w:rPr>
        <w:t xml:space="preserve">Historische Fassung: Stand 10.01.2020 bis 22.12.2020. Dies ist nicht die aktuelle Fassung.</w:t>
      </w:r>
    </w:p>
    <w:p>
      <w:r>
        <w:t xml:space="preserve">(1) In der Situationsaufgabe aus dem Handlungsbereich „Führung und Organisation“ sollen mindestens zwei der Qualifikationsschwerpunkte „Personalmanagement“, „Vertriebs- und Geschäftsprozesse“ und „Kostenmanagement“ den Kern bilden. Die zu prüfenden Qualifikationsschwerpunkte werden von der zuständigen Stelle bestimmt. Die in den Qualifikationsschwerpunkten zu prüfenden Qualifikationsinhalte bestimmen sich nach den §§ 22 bis 24.</w:t>
      </w:r>
    </w:p>
    <w:p>
      <w:r>
        <w:t xml:space="preserve">(2) Die Situationsaufgabe soll darüber hinaus Qualifikationsinhalte aus dem Qualifikationsschwerpunkt „Produkte und Prozesse der Print- und Digitalmedienproduktion“ des Handlungsbereichs „Medienproduktion“ einbeziehen. Die einbezogenen Qualifikationsinhalte sollen dann nicht Bestandteil der Situationsaufgabe aus dem Handlungsbereich „Medienproduktion“ sein.</w:t>
      </w:r>
    </w:p>
    <w:p>
      <w:r>
        <w:rPr>
          <w:color w:val="555555"/>
          <w:sz w:val="17"/>
        </w:rPr>
        <w:t xml:space="preserve">Zitiervorschlag: § 21 MFFPrV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https://recht.nulegal.eu/gesetze/MFFPrV/21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