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MFBAProMediaFPrV — Gliederung der Prüfung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Prüfung nach § 2 Nummer 1 gliedert sich in zwei aufeinander aufbauende Prüfungsteile:</w:t>
      </w:r>
    </w:p>
    <w:p>
      <w:pPr>
        <w:ind w:left="420"/>
      </w:pPr>
      <w:r>
        <w:t xml:space="preserve">1. Prüfungsteil „Grundlegende Qualifikationen“ nach § 6 und</w:t>
      </w:r>
    </w:p>
    <w:p>
      <w:pPr>
        <w:ind w:left="420"/>
      </w:pPr>
      <w:r>
        <w:t xml:space="preserve">2. Prüfungsteil „Handlungsspezifische Qualifikationen“ nach § 13.</w:t>
      </w:r>
    </w:p>
    <w:p>
      <w:r>
        <w:rPr>
          <w:color w:val="555555"/>
          <w:sz w:val="17"/>
        </w:rPr>
        <w:t xml:space="preserve">Zitiervorschlag: § 4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