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 MFBAProMediaFPrV — Befreiung von einzelnen Prüfungsbestandteilen</w:t>
      </w:r>
    </w:p>
    <w:p>
      <w:r>
        <w:rPr>
          <w:color w:val="555555"/>
          <w:sz w:val="18"/>
        </w:rPr>
        <w:t xml:space="preserve">Medienfachwirt-Bachelor Professional in Media-Fortbildungsprüfungsverordnung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27 und 28 außer Betracht. Für die übrigen Prüfungsbestandteile erhöhen sich die Anteile nach § 27 Absatz 2 Satz 2 oder § 28 Absatz 4 Satz 2 entsprechend ihrem Verhältnis zueinander. Allein diese Prüfungsbestandteile sind den Entscheidungen des Prüfungsausschusses zugrunde zu legen.</w:t>
      </w:r>
    </w:p>
    <w:p>
      <w:r>
        <w:rPr>
          <w:color w:val="555555"/>
          <w:sz w:val="17"/>
        </w:rPr>
        <w:t xml:space="preserve">Zitiervorschlag: § 26 MFBAProMediaFPrV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https://recht.nulegal.eu/gesetze/MFBAProMediaFPrV/26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