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MFBAProMediaFPrV — Qualifikationsschwerpunkt „Produkte und Prozesse der Print- und Digitalmedienproduktion“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Im Qualifikationsschwerpunkt „Produkte und Prozesse der Print- und Digitalmedienproduktion“ soll die zu prüfende Person nachweisen, dass sie in der Lage ist, vernetzte Prozesse zur Herstellung von Print- und Digitalmedienprodukten zu bewerten, zu organisieren und zu steuern. Dazu gehört, Zusammenhänge und Optimierungsmöglichkeiten erkennen und Maßnahmen einleiten zu können.</w:t>
      </w:r>
    </w:p>
    <w:p>
      <w:r>
        <w:t xml:space="preserve">(2) In diesem Rahmen können folgende Qualifikationsinhalte geprüft werden:</w:t>
      </w:r>
    </w:p>
    <w:p>
      <w:pPr>
        <w:ind w:left="420"/>
      </w:pPr>
      <w:r>
        <w:t xml:space="preserve">1. Analysieren und Bewerten von Print- und Digitalmedienprodukten und von deren Produktionsprozessen,</w:t>
      </w:r>
    </w:p>
    <w:p>
      <w:pPr>
        <w:ind w:left="420"/>
      </w:pPr>
      <w:r>
        <w:t xml:space="preserve">2. Analysieren von Auftragsanforderungen unter Berücksichtigung von Wirtschaftlichkeit und Produktspezifikationen sowie Umsetzen dieser Auftragsanforderungen in die Planung von Produktionsprozessen,</w:t>
      </w:r>
    </w:p>
    <w:p>
      <w:pPr>
        <w:ind w:left="420"/>
      </w:pPr>
      <w:r>
        <w:t xml:space="preserve">3. Optimieren von vernetzten Prozessen,</w:t>
      </w:r>
    </w:p>
    <w:p>
      <w:pPr>
        <w:ind w:left="420"/>
      </w:pPr>
      <w:r>
        <w:t xml:space="preserve">4. Mitwirken bei der Entwicklung von innovativen Print- und Digitalmedienprodukten unter Berücksichtigung intermedialer Gesichtspunkte,</w:t>
      </w:r>
    </w:p>
    <w:p>
      <w:pPr>
        <w:ind w:left="420"/>
      </w:pPr>
      <w:r>
        <w:t xml:space="preserve">5. Vorbereiten von Investitionsentscheidungen und</w:t>
      </w:r>
    </w:p>
    <w:p>
      <w:pPr>
        <w:ind w:left="420"/>
      </w:pPr>
      <w:r>
        <w:t xml:space="preserve">6. Planen, Einleiten und Überprüfen von Maßnahmen zur Verbesserung der Arbeitssicherheit, des Gesundheitsschutzes und des Umweltschutzes.</w:t>
      </w:r>
    </w:p>
    <w:p>
      <w:r>
        <w:rPr>
          <w:color w:val="555555"/>
          <w:sz w:val="17"/>
        </w:rPr>
        <w:t xml:space="preserve">Zitiervorschlag: § 18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