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MFBAProMediaFPrV — Schriftlicher Teil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schriftliche Teil besteht aus</w:t>
      </w:r>
    </w:p>
    <w:p>
      <w:pPr>
        <w:ind w:left="420"/>
      </w:pPr>
      <w:r>
        <w:t xml:space="preserve">1. einer Situationsaufgabe aus dem Handlungsbereich „Medienproduktion“ nach § 17 und</w:t>
      </w:r>
    </w:p>
    <w:p>
      <w:pPr>
        <w:ind w:left="420"/>
      </w:pPr>
      <w:r>
        <w:t xml:space="preserve">2. einer Situationsaufgabe aus dem Handlungsbereich „Führung und Organisation“ nach § 21.</w:t>
      </w:r>
    </w:p>
    <w:p>
      <w:r>
        <w:t xml:space="preserve">Die Situationsaufgaben sollen jeweils auch Inhalte aus dem Prüfungsteil „Grundlegende Qualifikationen“ nach § 6 berücksichtigen.</w:t>
      </w:r>
    </w:p>
    <w:p>
      <w:r>
        <w:t xml:space="preserve">(2) Die Bearbeitungsdauer beträgt</w:t>
      </w:r>
    </w:p>
    <w:p>
      <w:pPr>
        <w:ind w:left="420"/>
      </w:pPr>
      <w:r>
        <w:t xml:space="preserve">1. für die Situationsaufgabe aus dem Handlungsbereich „Medienproduktion“ nach § 17 mindestens 270 Minuten und</w:t>
      </w:r>
    </w:p>
    <w:p>
      <w:pPr>
        <w:ind w:left="420"/>
      </w:pPr>
      <w:r>
        <w:t xml:space="preserve">2. für die Situationsaufgabe aus dem Handlungsbereich „Führung und Organisation“ nach § 21 mindestens 240 Minuten.</w:t>
      </w:r>
    </w:p>
    <w:p>
      <w:r>
        <w:t xml:space="preserve">(3) Beide Situationsaufgaben sollen insgesamt nicht mehr als 10 Stunden dauern.</w:t>
      </w:r>
    </w:p>
    <w:p>
      <w:r>
        <w:rPr>
          <w:color w:val="555555"/>
          <w:sz w:val="17"/>
        </w:rPr>
        <w:t xml:space="preserve">Zitiervorschlag: § 15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