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MEDIENSTV_G_2023 (Brandenburg)</w:t>
      </w:r>
    </w:p>
    <w:p>
      <w:r>
        <w:rPr>
          <w:color w:val="555555"/>
          <w:sz w:val="18"/>
        </w:rPr>
        <w:t xml:space="preserve">Gesetz zum Siebten Staatsvertrag zur Änderung des Staatsvertrages über die Zusammenarbeit zwischen Berlin und Brandenburg im Bereich der Medien</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Dem am 6. Juni 2023 vom Land Brandenburg unterzeichneten Siebten Staatsvertrag zur Änderung des Staatsvertrages über die Zusammenarbeit zwischen Berlin und Brandenburg im Bereich der Medien wird zugestimmt. Der Staatsvertrag wird nachstehend veröffentlicht.</w:t>
      </w:r>
    </w:p>
    <w:p>
      <w:r>
        <w:rPr>
          <w:color w:val="555555"/>
          <w:sz w:val="17"/>
        </w:rPr>
        <w:t xml:space="preserve">Zitiervorschlag: § 1 MEDIENSTV_G_2023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https://recht.nulegal.eu/gesetze/MEDIENSTV_G_2023/1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