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MEDIENSTV_G_2009 (Brandenburg)</w:t>
      </w:r>
    </w:p>
    <w:p>
      <w:r>
        <w:rPr>
          <w:color w:val="555555"/>
          <w:sz w:val="18"/>
        </w:rPr>
        <w:t xml:space="preserve">Gesetz zu dem Vierten Staatsvertrag zur Änderung des Staatsvertrages über die Zusammenarbeit zwischen Berlin und Brandenburg im Bereich des Rundfunks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Tag, an dem der Staatsvertrag nach seinem Artikel 3 Absatz 1 in Kraft tritt, ist im Gesetz- und Verordnungsblatt für das Land Brandenburg Teil I bekannt zu geben.</w:t>
      </w:r>
    </w:p>
    <w:p>
      <w:r>
        <w:t xml:space="preserve">Potsdam, den 15. April 2009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t xml:space="preserve">zum Staatsvertrag - Staatsvertrag über die Zusammenarbeit zwischen Berlin und Brandenburg im Bereich des Rundfunks</w:t>
      </w:r>
    </w:p>
    <w:p>
      <w:r>
        <w:t xml:space="preserve">zum Staatsvertrag - Staatsvertrag über die Errichtung einer gemeinsamen Rundfunkanstalt der Länder Berlin und Brandenburg</w:t>
      </w:r>
    </w:p>
    <w:p>
      <w:r>
        <w:rPr>
          <w:color w:val="555555"/>
          <w:sz w:val="17"/>
        </w:rPr>
        <w:t xml:space="preserve">Zitiervorschlag: § 2 MEDIENSTV_G_2009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https://recht.nulegal.eu/gesetze/MEDIENSTV_G_2009/2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