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MDV — (zu § 1 Nummer 1, §§ 3 und 5 Absatz 1)</w:t>
      </w:r>
    </w:p>
    <w:p>
      <w:r>
        <w:rPr>
          <w:color w:val="555555"/>
          <w:sz w:val="18"/>
        </w:rPr>
        <w:t xml:space="preserve">Mobilitätsdatenverordnung</w:t>
      </w:r>
    </w:p>
    <w:p>
      <w:r>
        <w:rPr>
          <w:color w:val="555555"/>
          <w:sz w:val="18"/>
        </w:rPr>
        <w:t xml:space="preserve">Stand: 07.07.2022 (konsolidierte Textfassung, kein amtliches Inkrafttretensdatum)</w:t>
      </w:r>
    </w:p>
    <w:p>
      <w:r>
        <w:t xml:space="preserve">(Fundstelle: BGBl. I 2022, 1040 - 1043)</w:t>
      </w:r>
    </w:p>
    <w:p>
      <w:r>
        <w:rPr>
          <w:rFonts w:ascii="Courier New" w:hAnsi="Courier New"/>
          <w:sz w:val="17"/>
        </w:rPr>
        <w:t xml:space="preserve">Datenkategorie    Konkrete Daten undInformationen    Detailinformationen    Datenart    Datenmodell(e)/-standard(s),geforderte(s) Datenformat(e)    Alternative(s) Daten-modell(e), geforderte(s)Datenformat(e)[*]</w:t>
      </w:r>
    </w:p>
    <w:p>
      <w:r>
        <w:rPr>
          <w:rFonts w:ascii="Courier New" w:hAnsi="Courier New"/>
          <w:sz w:val="17"/>
        </w:rPr>
        <w:t xml:space="preserve">Daten im Zusammenhang mit der Beförderung von Personen im Linienverkehr    Unternehmer oder Vermittler    Name des Unternehmers oder des Vermittlers, Kontaktdaten (Telefon, Webseite, E-Mail), Beschreibung der Dienstleistung    statisch    NeTEx-EU-Profil/VDV-462 (XML)    GTFS (CSV)</w:t>
      </w:r>
    </w:p>
    <w:p>
      <w:r>
        <w:rPr>
          <w:rFonts w:ascii="Courier New" w:hAnsi="Courier New"/>
          <w:sz w:val="17"/>
        </w:rPr>
        <w:t xml:space="preserve">Fahrpläne    (Soll-)Fahrpläne mit An- und Abfahrtszeiten an den jeweiligen Haltestellen unter Verwendung der deutschlandweit einheitlichen Haltestellen-ID (VDV 432), Haltezeiten, Anschlüsse, Betriebszeiten und Betriebskalender mit einer Zuordnung zwischen Tageskategorien und Kalendertagen    statisch    NeTEx-EU-Profil/VDV-462 (XML)    GTFS (CSV)</w:t>
      </w:r>
    </w:p>
    <w:p>
      <w:r>
        <w:rPr>
          <w:rFonts w:ascii="Courier New" w:hAnsi="Courier New"/>
          <w:sz w:val="17"/>
        </w:rPr>
        <w:t xml:space="preserve">Routen    Netztopologie unter Verwendung der deutschlandweit einheitlichen Haltestellen-ID (VDV 432), Streckendaten, Liniennetz, Bediengebiet beim Linienbedarfsverkehr    statisch    NeTEx-EU-Profil/VDV-462 (XML) oder Geodaten gemäß INSPIRE-Vorgaben    GTFS (CSV), Geodaten als (Geo)JSON, GML</w:t>
      </w:r>
    </w:p>
    <w:p>
      <w:r>
        <w:rPr>
          <w:rFonts w:ascii="Courier New" w:hAnsi="Courier New"/>
          <w:sz w:val="17"/>
        </w:rPr>
        <w:t xml:space="preserve">Tarifstruktur/Preise    Gängige Basis-/Normaltarife, Fahrgastkategorien, gängige Tarifprodukte, Sondertarifprodukte, Tarifzonen, grundlegende Tarifinformationen in Bezug auf Rückerstattung/Ersatz/Umtausch/Übertragung einschließlich Verkaufsdauer, Gültigkeitsperioden, eingeschränkte Streckenführung/Tarifzonenabfolge, Mindestaufenthalt    statisch    NeTEx-EU-Profil/VDV-462 (XML)    VDV-KA, GTFS (CSV)</w:t>
      </w:r>
    </w:p>
    <w:p>
      <w:r>
        <w:rPr>
          <w:rFonts w:ascii="Courier New" w:hAnsi="Courier New"/>
          <w:sz w:val="17"/>
        </w:rPr>
        <w:t xml:space="preserve">Buchungs- undBezahlmöglichkeiten    Vertriebskanäle (Webseite, App, Verkaufsstellen), Zahlungsarten und -möglichkeiten    statisch    NeTEx-EU-Profil (XML)    CSV, JSON</w:t>
      </w:r>
    </w:p>
    <w:p>
      <w:r>
        <w:rPr>
          <w:rFonts w:ascii="Courier New" w:hAnsi="Courier New"/>
          <w:sz w:val="17"/>
        </w:rPr>
        <w:t xml:space="preserve">Daten zum Umweltstandard und derBarrierefreiheit der eingesetzten Fahrzeuge    Fahrzeugart (Bus, U-Bahn, Straßenbahn, Kleinfahrzeug), Eigenschaften (Antriebsart einschließlich der Schadstoffklasse, Niederflur oder rollstuhlgängig, Anzahl Sitz- und Stehplätze)    statisch    NeTEx-EU-Profil/VDV-462 (XML)    GTFS (CSV)</w:t>
      </w:r>
    </w:p>
    <w:p>
      <w:r>
        <w:rPr>
          <w:rFonts w:ascii="Courier New" w:hAnsi="Courier New"/>
          <w:sz w:val="17"/>
        </w:rPr>
        <w:t xml:space="preserve">    Ausfälle, Störungen    Statusänderungen bezogen auf Fahrplan, eingesetztes Fahrzeug oder Routen, Umleitungen unter Verwendung der deutschlandweit einheitlichen Haltestellen-ID(VDV 432), Abweichungen zum standardmäßig eingesetzten Fahrzeug    dynamisch    SIRI PT, ET, SX (XML)    GTFS-RT (Protocol buffers), (Geo)JSON, CSV, VDV 453/454 (XML)</w:t>
      </w:r>
    </w:p>
    <w:p>
      <w:r>
        <w:rPr>
          <w:rFonts w:ascii="Courier New" w:hAnsi="Courier New"/>
          <w:sz w:val="17"/>
        </w:rPr>
        <w:t xml:space="preserve">    Verspätungen    Abweichungen vom Soll-Fahrplan unter Verwendung der deutschlandweit einheitlichen Haltestellen-ID (VDV 432)    dynamisch    SIRI PT, ET (XML)    GTFS-RT (Protocol buffers), (Geo)JSON, CSV, VDV 453/454 (XML)</w:t>
      </w:r>
    </w:p>
    <w:p>
      <w:r>
        <w:rPr>
          <w:rFonts w:ascii="Courier New" w:hAnsi="Courier New"/>
          <w:sz w:val="17"/>
        </w:rPr>
        <w:t xml:space="preserve">    VoraussichtlicheAbfahrts-/Ankunftszeit    Voraussichtliche Ankunftszeit an der Haltestelle oder am Haltepunkt und voraussichtliche Abfahrtszeit von der Haltestelle oder vom Haltepunkt unter Verwendung der deutschlandweit einheitlichen Haltestellen-ID (VDV 432)    dynamisch    SIRI PT, ET, VM (XML)    GTFS-RT (Protocol buffers), VDV453/454 (XML),(Geo)JSON, CSV</w:t>
      </w:r>
    </w:p>
    <w:p>
      <w:r>
        <w:rPr>
          <w:rFonts w:ascii="Courier New" w:hAnsi="Courier New"/>
          <w:sz w:val="17"/>
        </w:rPr>
        <w:t xml:space="preserve">    Tatsächliche oder prognostizierte Auslastung    Gemessener oder prognostizierter Auslastungsgrad „hoch“ (75 bis 100 %), „moderat“ (50 bis 75 %) oder „gering“ (0 bis 50 %) des eingesetzten Fahrzeugs oder Obusses oder der eingesetzten Straßenbahn, bezogen auf den jeweiligen Fahrtabschnitt, unter Anwendung der Bestimmungen des Regelwerks VDV 7052 zur Erstellung von Auslastungsinformationen in der Fahrgastkommunikation    dynamisch    SIRI VM, ET, SM (XML)    GTFS-RT (Protocol buffers), VDV-454 (XML), CSV</w:t>
      </w:r>
    </w:p>
    <w:p>
      <w:r>
        <w:rPr>
          <w:rFonts w:ascii="Courier New" w:hAnsi="Courier New"/>
          <w:sz w:val="17"/>
        </w:rPr>
        <w:t xml:space="preserve">Daten im Zusammenhang mit der Beförderung von Personen im Gelegenheitsverkehr    Unternehmer oder Vermittler    Name des Anbieters, Kontaktdaten des Anbieters (Telefon, Webseite, E-Mail), Beschreibung der Dienstleistung    statisch    NeTEx-EU-Profil (XML), JSON    XML, CSV</w:t>
      </w:r>
    </w:p>
    <w:p>
      <w:r>
        <w:rPr>
          <w:rFonts w:ascii="Courier New" w:hAnsi="Courier New"/>
          <w:sz w:val="17"/>
        </w:rPr>
        <w:t xml:space="preserve">Bediengebiet und-zeiten    Gebiete, in denen die Beförderungsdienstleistung gemäß behördlicher Genehmigung angeboten wird (Taxi-, Mietwagen- und gebündelter Bedarfsverkehr) inklusive Angaben zum Pflichtfahrgebiet (Taxiverkehr); ggf. Angaben ab wann Dienste im entsprechenden Gebiet angeboten werden (Mietwagen- und gebündelter Bedarfsverkehr)    statisch    GeoJSON oder Geodaten gemäß INSPIRE-Vorgaben    XML, CSV, GML</w:t>
      </w:r>
    </w:p>
    <w:p>
      <w:r>
        <w:rPr>
          <w:rFonts w:ascii="Courier New" w:hAnsi="Courier New"/>
          <w:sz w:val="17"/>
        </w:rPr>
        <w:t xml:space="preserve">Preise/Beförderungsentgelte    a)Taxenverkehr:Beförderungsentgelt nach § 51 PBefG; Sonderprodukte nach § 51 Abs. 1 S. 4 PBefG; Allgemeine Beförderungsbedingungen soweit sie den Preis oder das Beförderungsentgelt betreffen.    statisch    NeTEx-EU-Profil/VDV-462 (XML)    GTFS (CSV), XML, CSV</w:t>
      </w:r>
    </w:p>
    <w:p>
      <w:r>
        <w:rPr>
          <w:rFonts w:ascii="Courier New" w:hAnsi="Courier New"/>
          <w:sz w:val="17"/>
        </w:rPr>
        <w:t xml:space="preserve">        b)Mietwagenverkehr und gebündelter Bedarfsverkehr:Gängiger Basis-/Normalpreis, Sonderproduktesowie behördlich nach § 51a Abs. 1 oder 2 PBefG festgelegte Entgelte inkl. Angaben zum zeitlichen oder räumlichen Geltungsbereich. Allgemeine Geschäftsbedingungen soweit sie den Preis oder das Beförderungsentgelt betreffen.            </w:t>
      </w:r>
    </w:p>
    <w:p>
      <w:r>
        <w:rPr>
          <w:rFonts w:ascii="Courier New" w:hAnsi="Courier New"/>
          <w:sz w:val="17"/>
        </w:rPr>
        <w:t xml:space="preserve">    Buchungs- undBezahlmöglichkeiten    Vertriebskanäle (Webseite, App, Verkaufsstellen), Zahlungsarten und -möglichkeiten    statisch    JSON    XML, CSV</w:t>
      </w:r>
    </w:p>
    <w:p>
      <w:r>
        <w:rPr>
          <w:rFonts w:ascii="Courier New" w:hAnsi="Courier New"/>
          <w:sz w:val="17"/>
        </w:rPr>
        <w:t xml:space="preserve">    Daten zum Umweltstandard und derBarrierefreiheit der eingesetzten Fahrzeuge    Fahrzeugart, Eigenschaften (Antriebsart einschließlich der Schadstoffklasse sowie Angaben zur Barrierefreiheit nach § 64c PBefG inkl. der Anzahl barrierefreier Fahrzeuge im Taxen- und gebündelten Bedarfsverkehr) sowie die Ordnungsnummer der Fahrzeuge    statisch    NeTEx-EU-Profil/VDV-462 (XML), JSON    XML, CSV</w:t>
      </w:r>
    </w:p>
    <w:p>
      <w:r>
        <w:rPr>
          <w:rFonts w:ascii="Courier New" w:hAnsi="Courier New"/>
          <w:sz w:val="17"/>
        </w:rPr>
        <w:t xml:space="preserve">    Daten zu den tatsächlich abgerechneten Kosten    entfällt    dynamisch    JSON, XML    CSV</w:t>
      </w:r>
    </w:p>
    <w:p>
      <w:r>
        <w:rPr>
          <w:rFonts w:ascii="Courier New" w:hAnsi="Courier New"/>
          <w:sz w:val="17"/>
        </w:rPr>
        <w:t xml:space="preserve">    Verfügbarkeit von Fahrzeugen im Verkehr in Echtzeit    Geokoordinaten, Fahrzeugtyp und Barrierefreiheit von für eine Fahrt verfügbaren Fahrzeugen unter Verwendung der Ordnungsnummer in Echtzeit    dynamisch    (Geo)JSON, XML    GML</w:t>
      </w:r>
    </w:p>
    <w:p>
      <w:r>
        <w:rPr>
          <w:rFonts w:ascii="Courier New" w:hAnsi="Courier New"/>
          <w:sz w:val="17"/>
        </w:rPr>
        <w:t xml:space="preserve">    Auslastung    Auslastungsgrad (freie Sitzplätze, freie barrierefreie Sitzplätze)    dynamisch    JSON, XML    GML</w:t>
      </w:r>
    </w:p>
    <w:p>
      <w:r>
        <w:rPr>
          <w:rFonts w:ascii="Courier New" w:hAnsi="Courier New"/>
          <w:sz w:val="17"/>
        </w:rPr>
        <w:t xml:space="preserve">Daten zu Zugangsknoten und deren Infrastruktur im Linien- und Gelegenheitsverkehr    Zugangsknoten    a)Linienverkehr:Geokoordinaten von Haltestellen, Haltestellenbereichen, Haltepunkten, Bahnhöfen und anderen Zugangsknoten unter Verwendung der deutschlandweit einheitlichen Haltestellen-ID (VDV 432)b)Gelegenheitsverkehr:Geokoordinaten und Adresse vom Betriebssitz oder anderen behördlich zugelassenen Stellen oderanderen Abstellorten als den Betriebssitz    statisch    a)Linienverkehr:NeTEx-EU-Profil/VDV462 (XML) oder Geodaten gemäß INSPIRE-Vorgabenb)Gelegenheitsverkehr:(Geo)JSON oder Geodaten gemäß INSPIRE-Vorgaben    a)Linienverkehr:GTFS (CSV),Geodaten als(Geo)JSON, GMLb)Gelegenheits-verkehr:XML, CSV, GML</w:t>
      </w:r>
    </w:p>
    <w:p>
      <w:r>
        <w:rPr>
          <w:rFonts w:ascii="Courier New" w:hAnsi="Courier New"/>
          <w:sz w:val="17"/>
        </w:rPr>
        <w:t xml:space="preserve">    Infrastruktur anZugangsknoten    Bahnsteige oder Plattformen, Zugänglichkeit wie Treppen, Rolltreppen oder Aufzüge, Fußwege, barrierefreie Zugangsmöglichkeiten, Standorte von Verkaufsstellen und Ticketautomaten (inkl. Angaben zu deren Barrierefreiheit) sowie allgemeine Informationen wie Öffnungszeiten    statisch    NeTEx-EU-Profil/VDV-462 XML) oder Geodaten gemäß INSPIRE-Vorgaben    GTFS (CSV), Geodaten als (Geo)JSON, GML</w:t>
      </w:r>
    </w:p>
    <w:p>
      <w:r>
        <w:rPr>
          <w:rFonts w:ascii="Courier New" w:hAnsi="Courier New"/>
          <w:sz w:val="17"/>
        </w:rPr>
        <w:t xml:space="preserve">    Aktueller Betriebsstatus der Zugangsknoten und von dort vorhandener Infrastruktur    Statusänderungen an beschreibenden Eigenschaften einer Haltestelle/eines Haltepunktes (Bereiche, Masten, Haltepositionen) einschließlich Angaben zur vorübergehenden oder dauerhaften Stilllegung unter Angabe des Zeitpunkts oder Zeitraums der Stilllegung unter Verwendung der deutschlandweit einheitlichen Haltestellen-ID (VDV 432).Aktueller Zustand der Infrastruktur (wie z. B. geschlossene Zu-/Ausgänge, Bahnsteige, Verkaufsstellen, Treppenhäuser, Rolltreppen, Aufzüge, eingeschränkte barrierefreie Zugangsmöglichkeiten).    dynamisch    SIRI FM, SX (XML) oder Geodaten gemäßINSPIRE-Vorgaben    GTFS-RT (Protocol buffers), (Geo)JSON, CSV, GML</w:t>
      </w:r>
    </w:p>
    <w:p>
      <w:r>
        <w:t xml:space="preserve">* Können ergänzend bereitgestellt werden oder alternativ zum geforderten Datenformat, bis dieses produktiv eingesetzt wird.</w:t>
      </w:r>
    </w:p>
    <w:p>
      <w:r>
        <w:t xml:space="preserve">Datenprotokolle und Serviceschnittstellen Der Nationale Zugangspunkt unterstützt die im Folgenden genannten Protokolle/Schnittstellen für Datengeber und Datennehmer. Die Protokolle/Schnittstellen können unabhängig voneinander gewählt werden. Details der Verwendung der Protokolle werden vom Nationalen Zugangspunkt festgelegt und in dessen technischer Dokumentation beschrieben.</w:t>
      </w:r>
    </w:p>
    <w:p>
      <w:pPr>
        <w:ind w:left="420"/>
      </w:pPr>
      <w:r>
        <w:t xml:space="preserve">– HTTPS: Komplette Datensätze (sowohl zeichenbasiert als auch binär-kodiert) können per HTTPS-Protokoll ausgetauscht werden.</w:t>
      </w:r>
    </w:p>
    <w:p>
      <w:pPr>
        <w:ind w:left="420"/>
      </w:pPr>
      <w:r>
        <w:t xml:space="preserve">– SOAP: Komplette XML-kodierte Datensätze können per SOAP-Protokoll (basierend auf HTTPS) ausgetauscht werden. Entsprechende Schnittstellenspezifikationen in der Spezifikationssprache WSDL werden zur Erzeugung der Schnittstellenimplementierung zur Verfügung gestellt.</w:t>
      </w:r>
    </w:p>
    <w:p>
      <w:pPr>
        <w:ind w:left="420"/>
      </w:pPr>
      <w:r>
        <w:t xml:space="preserve">– MQTT: Der Nationale Zugangspunkt ist über das MQTT-Protokoll sowohl datengeber- als auch datennehmerseitig ansprechbar.</w:t>
      </w:r>
    </w:p>
    <w:p>
      <w:pPr>
        <w:ind w:left="420"/>
      </w:pPr>
      <w:r>
        <w:t xml:space="preserve">– REST: Komplette, JSON-kodierte Datensätze können per REST (basierend auf HTTPS) ausgetauscht werden.</w:t>
      </w:r>
    </w:p>
    <w:p>
      <w:r>
        <w:t xml:space="preserve">Werden Daten über Webservices mit anderen WSDL-Spezifikationen oder über andere Serviceschnittstellen (zum Beispiel OGC-konforme WMS/WFS) bereitgestellt, insbesondere um Dritten eine nach Aufrufparametern gestaltete, datennehmerspezifische Antwort zu übermitteln, kann der Nationale Zugangspunkt für die Speicherung der Metadaten der Webservices und zur Vermittlung des Datenaustausches zwischen Datengeber und Datennehmer genutzt werden. Der Aufruf der Dienste findet jedoch direkt zwischen Datennehmer- und Datengebersystem statt.</w:t>
      </w:r>
    </w:p>
    <w:p>
      <w:r>
        <w:rPr>
          <w:color w:val="555555"/>
          <w:sz w:val="17"/>
        </w:rPr>
        <w:t xml:space="preserve">Zitiervorschlag: Anlage 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