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MDV — Außerkrafttreten</w:t>
      </w:r>
    </w:p>
    <w:p>
      <w:r>
        <w:rPr>
          <w:color w:val="555555"/>
          <w:sz w:val="18"/>
        </w:rPr>
        <w:t xml:space="preserve">Mobilitätsdatenverordnung</w:t>
      </w:r>
    </w:p>
    <w:p>
      <w:r>
        <w:rPr>
          <w:color w:val="555555"/>
          <w:sz w:val="18"/>
        </w:rPr>
        <w:t xml:space="preserve">Stand: 22.05.2026 (konsolidierte Textfassung, kein amtliches Inkrafttretensdatum)</w:t>
      </w:r>
    </w:p>
    <w:p>
      <w:r>
        <w:t xml:space="preserve">Diese Verordnung tritt mit Ablauf des 30. November 2028 außer Kraft.</w:t>
      </w:r>
    </w:p>
    <w:p>
      <w:r>
        <w:rPr>
          <w:color w:val="555555"/>
          <w:sz w:val="17"/>
        </w:rPr>
        <w:t xml:space="preserve">Zitiervorschlag: § 9 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