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MDV — Verwendung von Daten durch Dritte</w:t>
      </w:r>
    </w:p>
    <w:p>
      <w:r>
        <w:rPr>
          <w:color w:val="555555"/>
          <w:sz w:val="18"/>
        </w:rPr>
        <w:t xml:space="preserve">Mobilitätsdatenverordnung</w:t>
      </w:r>
    </w:p>
    <w:p>
      <w:r>
        <w:rPr>
          <w:color w:val="555555"/>
          <w:sz w:val="18"/>
        </w:rPr>
        <w:t xml:space="preserve">Stand: 27.10.2021 (konsolidierte Textfassung, kein amtliches Inkrafttretensdatum)</w:t>
      </w:r>
    </w:p>
    <w:p>
      <w:r>
        <w:t xml:space="preserve">Für Dritte gilt in Bezug auf die nach § 5 Absatz 1 abgerufenen Daten, dass</w:t>
      </w:r>
    </w:p>
    <w:p>
      <w:pPr>
        <w:ind w:left="420"/>
      </w:pPr>
      <w:r>
        <w:t xml:space="preserve">1. die Daten unter Zuordnung zum jeweiligen Unternehmer oder Vermittler und dessen jeweiligem Beförderungsangebot zu verwenden sind;</w:t>
      </w:r>
    </w:p>
    <w:p>
      <w:pPr>
        <w:ind w:left="420"/>
      </w:pPr>
      <w:r>
        <w:t xml:space="preserve">2. die Daten bei der Integration in den jeweiligen elektronischen, insbesondere appbasierten Mobilitäts- oder Reiseinformationsdienst, nicht verfälscht oder in anderer Weise als zu dem in § 3b Absatz 1 Nummer 3 des Personenbeförderungsgesetzes bestimmten Zweck verwendet werden;</w:t>
      </w:r>
    </w:p>
    <w:p>
      <w:pPr>
        <w:ind w:left="420"/>
      </w:pPr>
      <w:r>
        <w:t xml:space="preserve">3. in den Fällen, in denen sie die Daten um zusätzliche Informationen ergänzen, die Daten, die über den Nationalen Zugangspunkt bezogen wurden, durch eindeutige Angabe der Quelle kenntlich zu machen sind;</w:t>
      </w:r>
    </w:p>
    <w:p>
      <w:pPr>
        <w:ind w:left="420"/>
      </w:pPr>
      <w:r>
        <w:t xml:space="preserve">4. sie die Mobilitäts- oder Reiseinformationen so zu veröffentlichen haben, dass die Darstellung nicht irreführend ist und die Entscheidungsfreiheit der Endnutzer bei der Auswahl von Mobilitäts- oder Reisewegen nicht beeinträchtigt wird.</w:t>
      </w:r>
    </w:p>
    <w:p>
      <w:r>
        <w:rPr>
          <w:color w:val="555555"/>
          <w:sz w:val="17"/>
        </w:rPr>
        <w:t xml:space="preserve">Zitiervorschlag: § 7 MDV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https://recht.nulegal.eu/gesetze/MDV/7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