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MDV — Registrierung von Dritten</w:t>
      </w:r>
    </w:p>
    <w:p>
      <w:r>
        <w:rPr>
          <w:color w:val="555555"/>
          <w:sz w:val="18"/>
        </w:rPr>
        <w:t xml:space="preserve">Mobilitätsdatenverordnung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(1) Dritte haben sich beim Nationalen Zugangspunkt zu registrieren. Für die Registrierung sind die folgenden Angaben erforderlich:</w:t>
      </w:r>
    </w:p>
    <w:p>
      <w:pPr>
        <w:ind w:left="420"/>
      </w:pPr>
      <w:r>
        <w:t xml:space="preserve">1. der Name und eine zustellungsfähige Anschrift, die Telefonnummer sowie die E-Mail-Adresse,</w:t>
      </w:r>
    </w:p>
    <w:p>
      <w:pPr>
        <w:ind w:left="420"/>
      </w:pPr>
      <w:r>
        <w:t xml:space="preserve">2. bei juristischen Personen zusätzlich der Firmenname, der Name einer vertretungsberechtigten Person sowie die Telefonnummer und die E-Mail-Adresse dieser Person,</w:t>
      </w:r>
    </w:p>
    <w:p>
      <w:pPr>
        <w:ind w:left="420"/>
      </w:pPr>
      <w:r>
        <w:t xml:space="preserve">3. der Name einer Kontaktperson sowie die Telefonnummer und die E-Mail-Adresse dieser Person.</w:t>
      </w:r>
    </w:p>
    <w:p>
      <w:r>
        <w:t xml:space="preserve">Der Nationale Zugangspunkt ist befugt, die in Satz 2 genannten Registrierungsdaten zu erheben, zu speichern und zu verwenden, soweit dies für seine Aufgabenerfüllung nach dieser Verordnung erforderlich ist. Änderungen der Angaben nach Absatz 1 Satz 2 sind vom Dritten unverzüglich mitzuteilen.</w:t>
      </w:r>
    </w:p>
    <w:p>
      <w:r>
        <w:t xml:space="preserve">(2) Die Registrierung sowie die Übermittlung von Änderungsmitteilungen erfolgen elektronisch.</w:t>
      </w:r>
    </w:p>
    <w:p>
      <w:r>
        <w:rPr>
          <w:color w:val="555555"/>
          <w:sz w:val="17"/>
        </w:rPr>
        <w:t xml:space="preserve">Zitiervorschlag: § 6 MDV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