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MDV — Datenweitergabe</w:t>
      </w:r>
    </w:p>
    <w:p>
      <w:r>
        <w:rPr>
          <w:color w:val="555555"/>
          <w:sz w:val="18"/>
        </w:rPr>
        <w:t xml:space="preserve">Mobilitätsdatenverordnung</w:t>
      </w:r>
    </w:p>
    <w:p>
      <w:r>
        <w:rPr>
          <w:color w:val="555555"/>
          <w:sz w:val="18"/>
        </w:rPr>
        <w:t xml:space="preserve">Stand: 27.10.2021 (konsolidierte Textfassung, kein amtliches Inkrafttretensdatum)</w:t>
      </w:r>
    </w:p>
    <w:p>
      <w:r>
        <w:t xml:space="preserve">(1) Behörden des Bundes, der Länder und der Gemeinden und Gemeindeverbände sowie nach § 6 registrierte Dritte erhalten über den Nationalen Zugangspunkt Zugang zu den in der Anlage genannten Daten zu den in § 3b Absatz 1 und 2 des Personenbeförderungsgesetzes genannten Zwecken. Der Zugang nach Satz 1 erfolgt diskriminierungsfrei über eine vom Nationalen Zugangspunkt nach § 8 angebotene Standardschnittstelle, die einen dauerhaften elektronischen Abruf ermöglicht.</w:t>
      </w:r>
    </w:p>
    <w:p>
      <w:r>
        <w:t xml:space="preserve">(2) Der Nationale Zugangspunkt hat über die Abrufe Aufzeichnungen anzufertigen, die Informationen enthalten zu den abgerufenen Daten, dem Anlass des Abrufs, dem Tag und der Uhrzeit der Abrufe, der Kennung der datengebenden und datenabrufenden Stelle, die die Feststellung der für den Abruf verantwortlichen Personen ermöglichen. Die protokollierten Daten dürfen nur für Zwecke der Datenschutzkontrolle, der Datensicherung oder zur Sicherstellung eines ordnungsgemäßen Betriebs der Datenverarbeitungsanlage verwendet werden. Die Protokolldaten sind durch geeignete Vorkehrungen gegen zweckfremde Verwendung und gegen sonstigen Missbrauch zu schützen und nach sechs Monaten zu löschen.</w:t>
      </w:r>
    </w:p>
    <w:p>
      <w:r>
        <w:t xml:space="preserve">(3) Sofern ein registrierter Dritter die Daten zu anderen Zwecken als den in § 3b Absatz 1 Nummer 3 des Personenbeförderungsgesetzes genannten verwendet oder gegen die Vorgaben nach § 7 Nummer 2 oder 4 verstößt, muss der Nationale Zugangspunkt unmittelbar nach Kenntniserlangen dem Dritten den Zugang zu den Daten nach Absatz 1 entziehen. Sofern ein registrierter Dritter gegen die Vorgaben in § 6 Absatz 1 Satz 4 oder nach § 7 Nummer 1 oder 3 verstößt, kann der Nationale Zugangspunkt nach Kenntniserlangen dem Dritten den Zugang zu den Daten nach Absatz 1 entziehen.</w:t>
      </w:r>
    </w:p>
    <w:p>
      <w:r>
        <w:rPr>
          <w:color w:val="555555"/>
          <w:sz w:val="17"/>
        </w:rPr>
        <w:t xml:space="preserve">Zitiervorschlag: § 5 MDV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https://recht.nulegal.eu/gesetze/MDV/5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