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MDV — Gegenstand der Rechtsverordnung</w:t>
      </w:r>
    </w:p>
    <w:p>
      <w:r>
        <w:rPr>
          <w:color w:val="555555"/>
          <w:sz w:val="18"/>
        </w:rPr>
        <w:t xml:space="preserve">Mobilitätsdatenverordnung</w:t>
      </w:r>
    </w:p>
    <w:p>
      <w:r>
        <w:rPr>
          <w:color w:val="555555"/>
          <w:sz w:val="18"/>
        </w:rPr>
        <w:t xml:space="preserve">Stand: 07.07.2022 (konsolidierte Textfassung, kein amtliches Inkrafttretensdatum)</w:t>
      </w:r>
    </w:p>
    <w:p>
      <w:r>
        <w:t xml:space="preserve">Diese Verordnung konkretisiert:</w:t>
      </w:r>
    </w:p>
    <w:p>
      <w:pPr>
        <w:ind w:left="420"/>
      </w:pPr>
      <w:r>
        <w:t xml:space="preserve">1. die Pflichten der Unternehmer und der Vermittler nach § 3a Absatz 1 des Personenbeförderungsgesetzes zur Bereitstellung der in der Anlage aufgeführten Daten über den im Auftrag des Bundesministeriums für Verkehr und digitale Infrastruktur durch die Bundesanstalt für Straßenwesen betriebenen Nationalen Zugangspunkt – auch unter Einbeziehung von in den Ländern und Gemeinden betriebenen Systemen –, die einzusetzenden Datenformate, die technischen Anforderungen an den Datenaustausch und die Datenweitergabe;</w:t>
      </w:r>
    </w:p>
    <w:p>
      <w:pPr>
        <w:ind w:left="420"/>
      </w:pPr>
      <w:r>
        <w:t xml:space="preserve">2. die Anforderungen an die Registrierung von Erbringern bedarfsgesteuerter Mobilitätsdienstleistungen oder multimodaler Reiseinformationsdienste für Endnutzer nach Artikel 2 Nummer 12 der Delegierten Verordnung (EU) 2017/1926 der Kommission vom 31. Mai 2017 zur Ergänzung der Richtlinie 2010/40/EU des Europäischen Parlaments und des Rates hinsichtlich der Bereitstellung EU-weiter multimodaler Reiseinformationsdienste (ABl. L 272 vom 21.10.2017, S. 1; L 125 vom 14.5.2019, S. 24) (Dritte) beim Nationalen Zugangspunkt sowie die Anforderungen an die Weiterverwendung von Daten insbesondere durch Dritte.</w:t>
      </w:r>
    </w:p>
    <w:p>
      <w:r>
        <w:rPr>
          <w:color w:val="555555"/>
          <w:sz w:val="17"/>
        </w:rPr>
        <w:t xml:space="preserve">Zitiervorschlag: § 1 MDV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