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MDF_2015 (Brandenburg) — Anwendungsbereich</w:t>
      </w:r>
    </w:p>
    <w:p>
      <w:r>
        <w:rPr>
          <w:color w:val="555555"/>
          <w:sz w:val="18"/>
        </w:rPr>
        <w:t xml:space="preserve">Gesetz über die Festsetzung des Steuersatzes für die Grunderwerbsteuer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1 ist auf Rechtsvorgänge anzuwenden, die ab dem 1. Juli 2015 verwirklicht werden. Für Rechtsvorgänge, die in der Zeit vom 1. Januar 2011 bis zum 30. Juni 2015 verwirklicht werden, ist § 1 in der bis zum 30. Juni 2015 geltenden Fassung anzuwenden.</w:t>
      </w:r>
    </w:p>
    <w:p>
      <w:r>
        <w:rPr>
          <w:color w:val="555555"/>
          <w:sz w:val="17"/>
        </w:rPr>
        <w:t xml:space="preserve">Zitiervorschlag: § 2 MDF_2015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https://recht.nulegal.eu/gesetze/MDF_2015/2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