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MDBNDVerfSchVDV — Nachteilsausgleich</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Menschen mit Beeinträchtigungen, die die Umsetzung der nachzuweisenden Kenntnisse einschränken, werden im Auswahlverfahren, bei Leistungstests und bei Prüfungen auf Antrag angemessene Erleichterungen gewährt.</w:t>
      </w:r>
    </w:p>
    <w:p>
      <w:r>
        <w:t xml:space="preserve">(2) Über die Gewährung von Erleichterungen entscheidet</w:t>
      </w:r>
    </w:p>
    <w:p>
      <w:pPr>
        <w:ind w:left="420"/>
      </w:pPr>
      <w:r>
        <w:t xml:space="preserve">1. im Auswahlverfahren die Dienstbehörde und</w:t>
      </w:r>
    </w:p>
    <w:p>
      <w:pPr>
        <w:ind w:left="420"/>
      </w:pPr>
      <w:r>
        <w:t xml:space="preserve">2. im Übrigen das Prüfungsamt (§ 39).</w:t>
      </w:r>
    </w:p>
    <w:p>
      <w:r>
        <w:t xml:space="preserve">(3) Art und Umfang der Erleichterungen sind mit den Betroffenen rechtzeitig zu erörtern. Bei schwerbehinderten Menschen und bei gleichgestellten behinderten Menschen erfolgt zudem eine Erörterung mit der Schwerbehindertenvertretung, sofern die betroffene Person dem nicht widerspricht. Bei Bedarf kann ein ärztliches oder ein amtsärztliches Gutachten gefordert werden. Die Kosten für das Gutachten trägt die Dienstbehörde.</w:t>
      </w:r>
    </w:p>
    <w:p>
      <w:r>
        <w:rPr>
          <w:color w:val="555555"/>
          <w:sz w:val="17"/>
        </w:rPr>
        <w:t xml:space="preserve">Zitiervorschlag: § 7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