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MDBNDVerfSchVDV — Fernbleiben und Rücktritt von einer Prüfung oder einem Prüfungsteil</w:t>
      </w:r>
    </w:p>
    <w:p>
      <w:r>
        <w:rPr>
          <w:color w:val="555555"/>
          <w:sz w:val="18"/>
        </w:rPr>
        <w:t xml:space="preserve">Verordnung über den Vorbereitungsdienst für den mittleren Dienst im Bundesnachrichtendienst und den mittleren Dienst im Verfassungsschutz des Bundes</w:t>
      </w:r>
    </w:p>
    <w:p>
      <w:r>
        <w:rPr>
          <w:color w:val="555555"/>
          <w:sz w:val="18"/>
        </w:rPr>
        <w:t xml:space="preserve">Stand: 16.08.2019 (konsolidierte Textfassung, kein amtliches Inkrafttretensdatum)</w:t>
      </w:r>
    </w:p>
    <w:p>
      <w:r>
        <w:t xml:space="preserve">(1) Bei ungenehmigtem Fernbleiben oder Rücktritt von einer Prüfung oder einem Prüfungsteil gilt die Prüfung oder der Prüfungsteil als mit null Rangpunkten bewertet.</w:t>
      </w:r>
    </w:p>
    <w:p>
      <w:r>
        <w:t xml:space="preserve">(2) Bei genehmigtem Fernbleiben oder Rücktritt gilt die Prüfung oder der Prüfungsteil als nicht begonnen.</w:t>
      </w:r>
    </w:p>
    <w:p>
      <w:r>
        <w:t xml:space="preserve">(3) Über die Genehmigung entscheidet das Prüfungsamt.</w:t>
      </w:r>
    </w:p>
    <w:p>
      <w:r>
        <w:t xml:space="preserve">(4) Die Genehmigung darf nur erteilt werden, wenn wichtige Gründe vorliegen. Bei Erkrankung soll die Genehmigung nur erteilt werden, wenn unverzüglich ein ärztliches Attest vorgelegt wird. Auf Verlangen des Prüfungsamtes ist entweder ein amtsärztliches Attest oder ein Attest einer Ärztin oder eines Arztes, die oder der vom Prüfungsamt beauftragt worden ist, vorzulegen.</w:t>
      </w:r>
    </w:p>
    <w:p>
      <w:r>
        <w:t xml:space="preserve">(5) Das Prüfungsamt bestimmt, ob und inwieweit eine bereits absolvierte Prüfung oder ein bereits absolvierter Prüfungsteil gewertet wird und zu welchem Zeitpunkt die Prüfung oder der Prüfungsteil nachgeholt wird.</w:t>
      </w:r>
    </w:p>
    <w:p>
      <w:r>
        <w:rPr>
          <w:color w:val="555555"/>
          <w:sz w:val="17"/>
        </w:rPr>
        <w:t xml:space="preserve">Zitiervorschlag: § 66 MDBNDVerfSchVDV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https://recht.nulegal.eu/gesetze/MDBNDVerfSchVDV/66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