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MDBNDVerfSchVDV — Erholungsurlaub</w:t>
      </w:r>
    </w:p>
    <w:p>
      <w:r>
        <w:rPr>
          <w:color w:val="555555"/>
          <w:sz w:val="18"/>
        </w:rPr>
        <w:t xml:space="preserve">Verordnung über den Vorbereitungsdienst für den mittleren Dienst im Bundesnachrichtendienst und den mittleren Dienst im Verfassungsschutz des Bundes</w:t>
      </w:r>
    </w:p>
    <w:p>
      <w:r>
        <w:rPr>
          <w:color w:val="555555"/>
          <w:sz w:val="18"/>
        </w:rPr>
        <w:t xml:space="preserve">Stand: 16.08.2019 (konsolidierte Textfassung, kein amtliches Inkrafttretensdatum)</w:t>
      </w:r>
    </w:p>
    <w:p>
      <w:r>
        <w:t xml:space="preserve">Erholungsurlaub wird in der Regel während der berufspraktischen Ausbildung gewährt.</w:t>
      </w:r>
    </w:p>
    <w:p>
      <w:r>
        <w:rPr>
          <w:color w:val="555555"/>
          <w:sz w:val="17"/>
        </w:rPr>
        <w:t xml:space="preserve">Zitiervorschlag: § 6 MDBNDVerfSchVDV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https://recht.nulegal.eu/gesetze/MDBNDVerfSchVDV/6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