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MDBNDVerfSchVDV — Zweck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Der Grundlehrgang schließt mit einer Zwischenprüfung ab.</w:t>
      </w:r>
    </w:p>
    <w:p>
      <w:r>
        <w:t xml:space="preserve">(2) In der Zwischenprüfung sollen die Anwärterinnen und Anwärter nachweisen, dass sie den Wissens- und Kenntnisstand erreicht haben, der eine erfolgreiche weitere Ausbildung erwarten lässt.</w:t>
      </w:r>
    </w:p>
    <w:p>
      <w:r>
        <w:rPr>
          <w:color w:val="555555"/>
          <w:sz w:val="17"/>
        </w:rPr>
        <w:t xml:space="preserve">Zitiervorschlag: § 41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