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MDBNDVerfSchVDV — Praktikumsordnung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(1) Die Dienstbehörde erlässt im Einvernehmen mit der für die Anwärterinnen und Anwärter der anderen Fachrichtung zuständigen Dienstbehörde eine Praktikumsordnung.</w:t>
      </w:r>
    </w:p>
    <w:p>
      <w:r>
        <w:t xml:space="preserve">(2) Die Praktikumsordnung regelt insbesondere</w:t>
      </w:r>
    </w:p>
    <w:p>
      <w:pPr>
        <w:ind w:left="420"/>
      </w:pPr>
      <w:r>
        <w:t xml:space="preserve">1. den Ablauf der berufspraktischen Ausbildung,</w:t>
      </w:r>
    </w:p>
    <w:p>
      <w:pPr>
        <w:ind w:left="420"/>
      </w:pPr>
      <w:r>
        <w:t xml:space="preserve">2. die Dauer der Praktika,</w:t>
      </w:r>
    </w:p>
    <w:p>
      <w:pPr>
        <w:ind w:left="420"/>
      </w:pPr>
      <w:r>
        <w:t xml:space="preserve">3. die inhaltlichen Anforderungen an die Praktika sowie</w:t>
      </w:r>
    </w:p>
    <w:p>
      <w:pPr>
        <w:ind w:left="420"/>
      </w:pPr>
      <w:r>
        <w:t xml:space="preserve">4. die Absolvierung von Leistungstests während der praxisbezogenen Lehrveranstaltungen, insbesondere</w:t>
      </w:r>
    </w:p>
    <w:p>
      <w:pPr>
        <w:ind w:left="780"/>
      </w:pPr>
      <w:r>
        <w:t xml:space="preserve">a) wie viele Leistungstests zu absolvieren sind,</w:t>
      </w:r>
    </w:p>
    <w:p>
      <w:pPr>
        <w:ind w:left="780"/>
      </w:pPr>
      <w:r>
        <w:t xml:space="preserve">b) in welchen Fächern die Leistungstests zu absolvieren sind und</w:t>
      </w:r>
    </w:p>
    <w:p>
      <w:pPr>
        <w:ind w:left="780"/>
      </w:pPr>
      <w:r>
        <w:t xml:space="preserve">c) in welcher Form die Leistungstests zu absolvieren sind.</w:t>
      </w:r>
    </w:p>
    <w:p>
      <w:r>
        <w:rPr>
          <w:color w:val="555555"/>
          <w:sz w:val="17"/>
        </w:rPr>
        <w:t xml:space="preserve">Zitiervorschlag: § 34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