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31 MDBNDVerfSchVDV — Gliederung, Organisation und Durchführung</w:t>
      </w:r>
    </w:p>
    <w:p>
      <w:r>
        <w:rPr>
          <w:color w:val="555555"/>
          <w:sz w:val="18"/>
        </w:rPr>
        <w:t xml:space="preserve">Verordnung über den Vorbereitungsdienst für den mittleren Dienst im Bundesnachrichtendienst und den mittleren Dienst im Verfassungsschutz des Bundes</w:t>
      </w:r>
    </w:p>
    <w:p>
      <w:r>
        <w:rPr>
          <w:color w:val="555555"/>
          <w:sz w:val="18"/>
        </w:rPr>
        <w:t xml:space="preserve">Stand: 16.08.2019 (konsolidierte Textfassung, kein amtliches Inkrafttretensdatum)</w:t>
      </w:r>
    </w:p>
    <w:p>
      <w:r>
        <w:t xml:space="preserve">(1) Die berufspraktische Ausbildung besteht aus</w:t>
      </w:r>
    </w:p>
    <w:p>
      <w:pPr>
        <w:ind w:left="420"/>
      </w:pPr>
      <w:r>
        <w:t xml:space="preserve">1. Praktika und</w:t>
      </w:r>
    </w:p>
    <w:p>
      <w:pPr>
        <w:ind w:left="420"/>
      </w:pPr>
      <w:r>
        <w:t xml:space="preserve">2. praxisbezogenen Lehrveranstaltungen.</w:t>
      </w:r>
    </w:p>
    <w:p>
      <w:r>
        <w:t xml:space="preserve">(2) Die Dienstbehörde bestimmt und überwacht die Gestaltung und Organisation der berufspraktischen Ausbildung.</w:t>
      </w:r>
    </w:p>
    <w:p>
      <w:r>
        <w:t xml:space="preserve">(3) Die Praktika werden von den Ausbildungsbehörden durchgeführt.</w:t>
      </w:r>
    </w:p>
    <w:p>
      <w:r>
        <w:t xml:space="preserve">(4) Die praxisbezogenen Lehrveranstaltungen werden von der Dienstbehörde durchgeführt.</w:t>
      </w:r>
    </w:p>
    <w:p>
      <w:r>
        <w:rPr>
          <w:color w:val="555555"/>
          <w:sz w:val="17"/>
        </w:rPr>
        <w:t xml:space="preserve">Zitiervorschlag: § 31 MDBNDVerfSchVDV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https://recht.nulegal.eu/gesetze/MDBNDVerfSchVDV/31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