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MDBNDVerfSchVDV — Dienstbehörde</w:t>
      </w:r>
    </w:p>
    <w:p>
      <w:r>
        <w:rPr>
          <w:color w:val="555555"/>
          <w:sz w:val="18"/>
        </w:rPr>
        <w:t xml:space="preserve">Verordnung über den Vorbereitungsdienst für den mittleren Dienst im Bundesnachrichtendienst und den mittleren Dienst im Verfassungsschutz des Bundes</w:t>
      </w:r>
    </w:p>
    <w:p>
      <w:r>
        <w:rPr>
          <w:color w:val="555555"/>
          <w:sz w:val="18"/>
        </w:rPr>
        <w:t xml:space="preserve">Stand: 16.08.2019 (konsolidierte Textfassung, kein amtliches Inkrafttretensdatum)</w:t>
      </w:r>
    </w:p>
    <w:p>
      <w:r>
        <w:t xml:space="preserve">(1) Dienstbehörde ist</w:t>
      </w:r>
    </w:p>
    <w:p>
      <w:pPr>
        <w:ind w:left="420"/>
      </w:pPr>
      <w:r>
        <w:t xml:space="preserve">1. für die Anwärterinnen und Anwärter der Fachrichtung „Bundesnachrichtendienst“ der Bundesnachrichtendienst und</w:t>
      </w:r>
    </w:p>
    <w:p>
      <w:pPr>
        <w:ind w:left="420"/>
      </w:pPr>
      <w:r>
        <w:t xml:space="preserve">2. für die Anwärterinnen und Anwärter der Fachrichtung „Verfassungsschutz“ das Bundesamt für Verfassungsschutz.</w:t>
      </w:r>
    </w:p>
    <w:p>
      <w:r>
        <w:t xml:space="preserve">(2) Die Dienstbehörde ist für alle beamtenrechtlichen Entscheidungen zuständig, soweit diese Entscheidungen durch diese Verordnung nicht anderen Stellen übertragen werden.</w:t>
      </w:r>
    </w:p>
    <w:p>
      <w:r>
        <w:rPr>
          <w:color w:val="555555"/>
          <w:sz w:val="17"/>
        </w:rPr>
        <w:t xml:space="preserve">Zitiervorschlag: § 3 MDBNDVerfSchVDV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https://recht.nulegal.eu/gesetze/MDBNDVerfSchVDV/3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