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MDBNDVerfSchVDV — Bestehen des schriftlichen Teils und Rangfolge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(1) Der schriftliche Teil des Auswahlverfahrens ist bestanden, wenn die erforderliche Mindestpunktzahl erreicht worden ist.</w:t>
      </w:r>
    </w:p>
    <w:p>
      <w:r>
        <w:t xml:space="preserve">(2) Anhand der erzielten Ergebnisse wird eine Rangfolge der Bewerberinnen und Bewerber, die bestanden haben, festgelegt.</w:t>
      </w:r>
    </w:p>
    <w:p>
      <w:r>
        <w:rPr>
          <w:color w:val="555555"/>
          <w:sz w:val="17"/>
        </w:rPr>
        <w:t xml:space="preserve">Zitiervorschlag: § 16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https://recht.nulegal.eu/gesetze/MDBNDVerfSchVDV/16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