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MBergKostV</w:t>
      </w:r>
    </w:p>
    <w:p>
      <w:r>
        <w:rPr>
          <w:color w:val="555555"/>
          <w:sz w:val="18"/>
        </w:rPr>
        <w:t xml:space="preserve">Meeresbodenbergbau-Kostenverordnung</w:t>
      </w:r>
    </w:p>
    <w:p>
      <w:r>
        <w:rPr>
          <w:color w:val="555555"/>
          <w:sz w:val="18"/>
        </w:rPr>
        <w:t xml:space="preserve">Historische Fassung: Stand 10.06.2019 bis 01.10.2021. Dies ist nicht die aktuelle Fassung.</w:t>
      </w:r>
    </w:p>
    <w:p>
      <w:r>
        <w:t xml:space="preserve">(1) Für den Widerruf oder die Rücknahme eines Verwaltungsaktes, die Ablehnung eines Antrags auf Vornahme einer individuell zurechenbaren öffentlichen Leistung sowie in den Fällen der Rücknahme eines Antrags auf Vornahme einer individuell zurechenbaren öffentlichen Leistung werden Gebühren nach Maßgabe des § 23 Absatz 5 Satz 1 und 2 des Bundesgebührengesetzes erhoben.</w:t>
      </w:r>
    </w:p>
    <w:p>
      <w:r>
        <w:t xml:space="preserve">(2) Für die vollständige oder teilweise Zurückweisung eines nicht ausschließlich gegen eine Gebührenfestsetzung gerichteten Widerspruchs wird eine Gebühr bis zur Höhe der für den angegriffenen Verwaltungsakt vorgesehenen Gebühr erhoben. Dies gilt nicht, wenn der Widerspruch nur deshalb keinen Erfolg hat, weil die Verletzung einer Verfahrens- oder Formvorschrift nach verwaltungsverfahrensrechtlichen Vorschriften unbeachtlich ist. Wird ein Widerspruch nach Beginn der sachlichen Bearbeitung, jedoch vor deren Beendigung zurückgenommen, beträgt die Gebühr höchstens 75 Prozent der Widerspruchsgebühr.</w:t>
      </w:r>
    </w:p>
    <w:p>
      <w:r>
        <w:rPr>
          <w:color w:val="555555"/>
          <w:sz w:val="17"/>
        </w:rPr>
        <w:t xml:space="preserve">Zitiervorschlag: § 2 MBergKostV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https://recht.nulegal.eu/gesetze/MBergKostV/2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