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MBergG — Archäologische und historische Gegenstände</w:t>
      </w:r>
    </w:p>
    <w:p>
      <w:r>
        <w:rPr>
          <w:color w:val="555555"/>
          <w:sz w:val="18"/>
        </w:rPr>
        <w:t xml:space="preserve">Meeresbodenbergbaugesetz</w:t>
      </w:r>
    </w:p>
    <w:p>
      <w:r>
        <w:rPr>
          <w:color w:val="555555"/>
          <w:sz w:val="18"/>
        </w:rPr>
        <w:t xml:space="preserve">Stand: 12.08.2020 (konsolidierte Textfassung, kein amtliches Inkrafttretensdatum)</w:t>
      </w:r>
    </w:p>
    <w:p>
      <w:r>
        <w:t xml:space="preserve">Im Gebiet gefundene Gegenstände archäologischer oder historischer Art sind dem Landesamt anzuzeigen und nach dessen Anweisung zu behandeln. Diese Anweisungen haben Artikel 149 des Übereinkommens zu berücksichtigen und werden im Einvernehmen mit dem Bundesministerium des Innern, für Bau und Heimat erlassen.</w:t>
      </w:r>
    </w:p>
    <w:p>
      <w:r>
        <w:rPr>
          <w:color w:val="555555"/>
          <w:sz w:val="17"/>
        </w:rPr>
        <w:t xml:space="preserve">Zitiervorschlag: § 9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