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MBergG — Bußgeldvorschriften</w:t>
      </w:r>
    </w:p>
    <w:p>
      <w:r>
        <w:rPr>
          <w:color w:val="555555"/>
          <w:sz w:val="18"/>
        </w:rPr>
        <w:t xml:space="preserve">Meeresbodenbergbaugesetz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4 Abs. 1 Satz 1 ohne Registrierung prospektiert,</w:t>
      </w:r>
    </w:p>
    <w:p>
      <w:pPr>
        <w:ind w:left="420"/>
      </w:pPr>
      <w:r>
        <w:t xml:space="preserve">2. entgegen § 4 Abs. 1 Satz 2 eine Anzeige nicht, nicht richtig oder nicht rechtzeitig erstattet,</w:t>
      </w:r>
    </w:p>
    <w:p>
      <w:pPr>
        <w:ind w:left="420"/>
      </w:pPr>
      <w:r>
        <w:t xml:space="preserve">3. entgegen § 4 Abs. 2 Tätigkeiten im Gebiet ohne Vertrag mit der Behörde durchführt,</w:t>
      </w:r>
    </w:p>
    <w:p>
      <w:pPr>
        <w:ind w:left="420"/>
      </w:pPr>
      <w:r>
        <w:t xml:space="preserve">4. einer vollziehbaren Auflage nach § 4 Abs. 9 zuwiderhandelt,</w:t>
      </w:r>
    </w:p>
    <w:p>
      <w:pPr>
        <w:ind w:left="420"/>
      </w:pPr>
      <w:r>
        <w:t xml:space="preserve">5. Ge- oder Verboten seines Vertrages zuwiderhandelt,</w:t>
      </w:r>
    </w:p>
    <w:p>
      <w:pPr>
        <w:ind w:left="420"/>
      </w:pPr>
      <w:r>
        <w:t xml:space="preserve">6. einer Vorschrift des § 6 Abs. 1 Nr. 1 über die Verpflichtung zur Bestellung verantwortlicher Personen, des § 6 Abs. 1 Nr. 3 über die Verpflichtung zur Erklärung der Bestellung oder Abberufung verantwortlicher Personen oder der genauen Beschreibung ihrer Aufgaben und Befugnisse in der Bestellung oder des § 6 Abs. 1 Nr. 4 über die Verpflichtung zur Namhaftmachung der verantwortlichen Personen oder zur Anzeige der Änderung ihrer Stellung oder ihres Ausscheidens zuwiderhandelt,</w:t>
      </w:r>
    </w:p>
    <w:p>
      <w:pPr>
        <w:ind w:left="420"/>
      </w:pPr>
      <w:r>
        <w:t xml:space="preserve">7. einer Rechtsverordnung nach § 7 Abs. 2 zuwiderhandelt, soweit sie für einen bestimmten Tatbestand auf diese Bußgeldvorschrift verweist, oder</w:t>
      </w:r>
    </w:p>
    <w:p>
      <w:pPr>
        <w:ind w:left="420"/>
      </w:pPr>
      <w:r>
        <w:t xml:space="preserve">8. entgegen § 8 Abs. 2 Satz 2 auf Verlangen eine Auskunft nicht, nicht richtig, nicht vollständig oder nicht rechtzeitig erteilt.</w:t>
      </w:r>
    </w:p>
    <w:p>
      <w:r>
        <w:t xml:space="preserve">(2) Die Ordnungswidrigkeit kann in den Fällen des Absatzes 1 Nr. 2, 6 und 8 mit einer Geldbuße bis zu fünftausend Euro und in den Fällen des Absatzes 1 Nr. 1, 3, 4, 5 und 7 mit einer Geldbuße bis zu fünfzigtausend Euro geahndet werden.</w:t>
      </w:r>
    </w:p>
    <w:p>
      <w:r>
        <w:t xml:space="preserve">(3) Verwaltungsbehörde im Sinne des § 36 Abs. 1 Nr. 1 des Gesetzes über Ordnungswidrigkeiten ist das Landesamt.</w:t>
      </w:r>
    </w:p>
    <w:p>
      <w:r>
        <w:t xml:space="preserve">(4) Die Verfolgung einer Ordnungswidrigkeit ist ausgeschlossen, wenn die Behörde wegen derselben Tat ein Verfahren mit dem Ziel der Verhängung einer Sanktion gemäß Artikel 18 Abs. 2 der Anlage III des Übereinkommens durchführt oder durchgeführt hat.</w:t>
      </w:r>
    </w:p>
    <w:p>
      <w:r>
        <w:rPr>
          <w:color w:val="555555"/>
          <w:sz w:val="17"/>
        </w:rPr>
        <w:t xml:space="preserve">Zitiervorschlag: § 11 MBergG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