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MBankDVDV — Bewertung der Leistungen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Anwärterinnen und Anwärter werden, soweit in dieser Verordnung nichts anderes bestimmt ist, wie folgt bewertet:</w:t>
      </w:r>
    </w:p>
    <w:p>
      <w:r>
        <w:rPr>
          <w:rFonts w:ascii="Courier New" w:hAnsi="Courier New"/>
          <w:sz w:val="17"/>
        </w:rPr>
        <w:t xml:space="preserve">    Prozentualer Anteil der erreichten Punkt- zahl an der erreich- baren Punktzahl    Rangpunkte/ Rangpunktzahl    Note    Notendefinition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100,00 bis 93,70    15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93,69 bis 87,50    14</w:t>
      </w:r>
    </w:p>
    <w:p>
      <w:r>
        <w:rPr>
          <w:rFonts w:ascii="Courier New" w:hAnsi="Courier New"/>
          <w:sz w:val="17"/>
        </w:rPr>
        <w:t xml:space="preserve">3    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83,39 bis 79,20    12</w:t>
      </w:r>
    </w:p>
    <w:p>
      <w:r>
        <w:rPr>
          <w:rFonts w:ascii="Courier New" w:hAnsi="Courier New"/>
          <w:sz w:val="17"/>
        </w:rPr>
        <w:t xml:space="preserve">5    79,19 bis 75,00    11</w:t>
      </w:r>
    </w:p>
    <w:p>
      <w:r>
        <w:rPr>
          <w:rFonts w:ascii="Courier New" w:hAnsi="Courier New"/>
          <w:sz w:val="17"/>
        </w:rPr>
        <w:t xml:space="preserve">6    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70,89 bis 66,70    9</w:t>
      </w:r>
    </w:p>
    <w:p>
      <w:r>
        <w:rPr>
          <w:rFonts w:ascii="Courier New" w:hAnsi="Courier New"/>
          <w:sz w:val="17"/>
        </w:rPr>
        <w:t xml:space="preserve">8    66,69 bis 62,50    8</w:t>
      </w:r>
    </w:p>
    <w:p>
      <w:r>
        <w:rPr>
          <w:rFonts w:ascii="Courier New" w:hAnsi="Courier New"/>
          <w:sz w:val="17"/>
        </w:rPr>
        <w:t xml:space="preserve">9    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58,39 bis 54,20    6</w:t>
      </w:r>
    </w:p>
    <w:p>
      <w:r>
        <w:rPr>
          <w:rFonts w:ascii="Courier New" w:hAnsi="Courier New"/>
          <w:sz w:val="17"/>
        </w:rPr>
        <w:t xml:space="preserve">11    54,19 bis 50,00    5</w:t>
      </w:r>
    </w:p>
    <w:p>
      <w:r>
        <w:rPr>
          <w:rFonts w:ascii="Courier New" w:hAnsi="Courier New"/>
          <w:sz w:val="17"/>
        </w:rPr>
        <w:t xml:space="preserve">12    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41,69 bis 33,40    3</w:t>
      </w:r>
    </w:p>
    <w:p>
      <w:r>
        <w:rPr>
          <w:rFonts w:ascii="Courier New" w:hAnsi="Courier New"/>
          <w:sz w:val="17"/>
        </w:rPr>
        <w:t xml:space="preserve">14    33,39 bis 25,00    2</w:t>
      </w:r>
    </w:p>
    <w:p>
      <w:r>
        <w:rPr>
          <w:rFonts w:ascii="Courier New" w:hAnsi="Courier New"/>
          <w:sz w:val="17"/>
        </w:rPr>
        <w:t xml:space="preserve">15    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12,49 bis 0,00    0</w:t>
      </w:r>
    </w:p>
    <w:p>
      <w:r>
        <w:t xml:space="preserve">(2) Soweit in dieser Verordnung nichts anderes bestimmt ist, werden Rangpunktzahlen auf zwei Nachkommastellen ohne Rundung berechnet.</w:t>
      </w:r>
    </w:p>
    <w:p>
      <w:r>
        <w:rPr>
          <w:color w:val="555555"/>
          <w:sz w:val="17"/>
        </w:rPr>
        <w:t xml:space="preserve">Zitiervorschlag: § 5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