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MBankDVDV — Organisation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oberste Dienstbehörde oder eine von ihr bestimmte Stelle organisiert die Laufbahnprüfung. Sie hat</w:t>
      </w:r>
    </w:p>
    <w:p>
      <w:pPr>
        <w:ind w:left="420"/>
      </w:pPr>
      <w:r>
        <w:t xml:space="preserve">1. eine oder bei Bedarf mehrere Prüfungskommissionen einzurichten und deren Mitglieder zu bestellen,</w:t>
      </w:r>
    </w:p>
    <w:p>
      <w:pPr>
        <w:ind w:left="420"/>
      </w:pPr>
      <w:r>
        <w:t xml:space="preserve">2. sicherzustellen, dass alle Prüfungskommissionen denselben Bewertungsmaßstab anlegen,</w:t>
      </w:r>
    </w:p>
    <w:p>
      <w:pPr>
        <w:ind w:left="420"/>
      </w:pPr>
      <w:r>
        <w:t xml:space="preserve">3. die Prüfungsorte und Prüfungszeitpunkte zu bestimmen und dafür zu sorgen, dass diese den Anwärterinnen und Anwärtern rechtzeitig mitgeteilt werden,</w:t>
      </w:r>
    </w:p>
    <w:p>
      <w:pPr>
        <w:ind w:left="420"/>
      </w:pPr>
      <w:r>
        <w:t xml:space="preserve">4. über die Zulassung der Anwärterinnen und Anwärter zur schriftlichen Abschlussprüfung zu entscheiden,</w:t>
      </w:r>
    </w:p>
    <w:p>
      <w:pPr>
        <w:ind w:left="420"/>
      </w:pPr>
      <w:r>
        <w:t xml:space="preserve">5. die Aufgaben der Klausuren der schriftlichen Abschlussprüfung, die Bearbeitungszeiten sowie die zulässigen Hilfsmittel zu bestimmen,</w:t>
      </w:r>
    </w:p>
    <w:p>
      <w:pPr>
        <w:ind w:left="420"/>
      </w:pPr>
      <w:r>
        <w:t xml:space="preserve">6. über die Zulassung der Anwärterinnen und Anwärter zur mündlichen Abschlussprüfung zu entscheiden und</w:t>
      </w:r>
    </w:p>
    <w:p>
      <w:pPr>
        <w:ind w:left="420"/>
      </w:pPr>
      <w:r>
        <w:t xml:space="preserve">7. das Abschlusszeugnis zu erteilen.</w:t>
      </w:r>
    </w:p>
    <w:p>
      <w:r>
        <w:rPr>
          <w:color w:val="555555"/>
          <w:sz w:val="17"/>
        </w:rPr>
        <w:t xml:space="preserve">Zitiervorschlag: § 20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