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MBankDVDV — Mündlicher Teil</w:t>
      </w:r>
    </w:p>
    <w:p>
      <w:r>
        <w:rPr>
          <w:color w:val="555555"/>
          <w:sz w:val="18"/>
        </w:rPr>
        <w:t xml:space="preserve">Verordnung über den Vorbereitungsdienst für den mittleren Bankdienst der Deutschen Bundesbank</w:t>
      </w:r>
    </w:p>
    <w:p>
      <w:r>
        <w:rPr>
          <w:color w:val="555555"/>
          <w:sz w:val="18"/>
        </w:rPr>
        <w:t xml:space="preserve">Stand: 01.10.2025 (konsolidierte Textfassung, kein amtliches Inkrafttretensdatum)</w:t>
      </w:r>
    </w:p>
    <w:p>
      <w:r>
        <w:t xml:space="preserve">(1) Der mündliche Teil des Auswahlverfahrens besteht aus zwei Abschnitten, und zwar aus</w:t>
      </w:r>
    </w:p>
    <w:p>
      <w:pPr>
        <w:ind w:left="420"/>
      </w:pPr>
      <w:r>
        <w:t xml:space="preserve">1. einer Gruppenaufgabe und</w:t>
      </w:r>
    </w:p>
    <w:p>
      <w:pPr>
        <w:ind w:left="420"/>
      </w:pPr>
      <w:r>
        <w:t xml:space="preserve">2. einem strukturierten Interview.</w:t>
      </w:r>
    </w:p>
    <w:p>
      <w:r>
        <w:t xml:space="preserve">(2) Der mündliche Teil dient dazu, die Eignung der Bewerberinnen und Bewerber für den Vorbereitungsdienst im Kompetenzbereich „soziales Verhalten“ und in weiteren Kompetenzbereichen zu ermitteln.</w:t>
      </w:r>
    </w:p>
    <w:p>
      <w:r>
        <w:t xml:space="preserve">(3) Näheres zu den Kompetenzbereichen, ihrer Zuordnung zu den Abschnitten und zur Gewichtung der beiden Abschnitte für die Ermittlung der Teilnoten der Kompetenzbereiche nach § 11 Absatz 3 wird in den Auswahlrichtlinien festgelegt.</w:t>
      </w:r>
    </w:p>
    <w:p>
      <w:r>
        <w:rPr>
          <w:color w:val="555555"/>
          <w:sz w:val="17"/>
        </w:rPr>
        <w:t xml:space="preserve">Zitiervorschlag: § 10 MBankDVDV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https://recht.nulegal.eu/gesetze/MBankDVDV/10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