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MBVerfV — Tragende Gründe</w:t>
      </w:r>
    </w:p>
    <w:p>
      <w:r>
        <w:rPr>
          <w:color w:val="555555"/>
          <w:sz w:val="18"/>
        </w:rPr>
        <w:t xml:space="preserve">Methodenbewertungsverfahrensverordnung</w:t>
      </w:r>
    </w:p>
    <w:p>
      <w:r>
        <w:rPr>
          <w:color w:val="555555"/>
          <w:sz w:val="18"/>
        </w:rPr>
        <w:t xml:space="preserve">Stand: 27.06.2020 (konsolidierte Textfassung, kein amtliches Inkrafttretensdatum)</w:t>
      </w:r>
    </w:p>
    <w:p>
      <w:r>
        <w:t xml:space="preserve">(1) Der Gemeinsame Bundesausschuss hat die tragenden Gründe für einen Beschluss nach § 7 Absatz 2 oder Absatz 3 auf seiner Internetseite zu veröffentlichen. Gegenstand der tragenden Gründe ist insbesondere die Darlegung und nähere Begründung der Abwägungsentscheidung, die dem Beschluss nach § 7 Absatz 2 oder Absatz 3 zugrunde liegt.</w:t>
      </w:r>
    </w:p>
    <w:p>
      <w:r>
        <w:t xml:space="preserve">(2) Für die Darlegung und nähere Begründung der Abwägungsentscheidung sind hinsichtlich der Untersuchungs- oder Behandlungsmethode und ihres Anwendungsgebiets insbesondere folgende Gesichtspunkte im Einzelnen näher zu erläutern:</w:t>
      </w:r>
    </w:p>
    <w:p>
      <w:pPr>
        <w:ind w:left="420"/>
      </w:pPr>
      <w:r>
        <w:t xml:space="preserve">1. die vorliegenden Erkenntnisse zu und Wahrscheinlichkeiten von positiven und negativen medizinischen Effekten, einschließlich der Übertragbarkeit von Erkenntnissen zu anderen Untersuchungs- oder Behandlungsmethoden oder Anwendungsgebieten, auch unter Berücksichtigung von unter Alltagsbedingungen gewonnenen Erkenntnissen,</w:t>
      </w:r>
    </w:p>
    <w:p>
      <w:pPr>
        <w:ind w:left="420"/>
      </w:pPr>
      <w:r>
        <w:t xml:space="preserve">2. das Vorhandensein oder das Fehlen von Behandlungsalternativen in der Versorgung der gesetzlichen Krankenversicherung, auch im Hinblick darauf, ob für bestimmte Versicherte keine oder nur unzureichende Behandlungsalternativen zur Verfügung stehen,</w:t>
      </w:r>
    </w:p>
    <w:p>
      <w:pPr>
        <w:ind w:left="420"/>
      </w:pPr>
      <w:r>
        <w:t xml:space="preserve">3. das Vorliegen von Besonderheiten wie die Seltenheit der mit der Untersuchungs- oder Behandlungsmethode zu behandelnden Erkrankung oder Umstände, wonach Studien nicht oder nicht in angemessener Zeit durchführbar sind.</w:t>
      </w:r>
    </w:p>
    <w:p>
      <w:r>
        <w:t xml:space="preserve">(3) Die abschließende Abwägungsentscheidung ist in den tragenden Gründen zudem zusammenfassend und in einer für Versicherte verständlichen Sprache dahingehend zu begründen, warum der Gemeinsame Bundesausschuss die vorliegenden Erkenntnisse unter Berücksichtigung des konkreten Versorgungskontextes für die Anerkennung des Nutzens oder die Feststellung eines Potentials als ausreichend oder nicht ausreichend bewertet hat. Die Berücksichtigung des konkreten Versorgungskontextes erfasst neben den Gesichtspunkten nach Absatz 2 Satz 1 Nummer 2 und 3 insbesondere auch die Schwere der mit der Methode zu behandelnden Erkrankung.</w:t>
      </w:r>
    </w:p>
    <w:p>
      <w:r>
        <w:rPr>
          <w:color w:val="555555"/>
          <w:sz w:val="17"/>
        </w:rPr>
        <w:t xml:space="preserve">Zitiervorschlag: § 8 MBVerfV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https://recht.nulegal.eu/gesetze/MBVerfV/8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