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MBVerfV — Geltungsbereich</w:t>
      </w:r>
    </w:p>
    <w:p>
      <w:r>
        <w:rPr>
          <w:color w:val="555555"/>
          <w:sz w:val="18"/>
        </w:rPr>
        <w:t xml:space="preserve">Methodenbewertungsverfahrensverordnung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Diese Verordnung regelt das Nähere zum Verfahren, das der Gemeinsame Bundesausschuss bei der Bewertung von Untersuchungs- und Behandlungsmethoden in der vertragsärztlichen und vertragszahnärztlichen Versorgung nach § 135 Absatz 1 des Fünften Buches Sozialgesetzbuch und bei der Bewertung von Untersuchungs- und Behandlungsmethoden im Rahmen einer Krankenhausbehandlung nach § 137c Absatz 1 des Fünften Buches Sozialgesetzbuch zu beachten hat. Geltende Regelungen der Verfahrensordnung des Gemeinsamen Bundesausschusses, die den Vorgaben der Verordnung nicht entgegenstehen, bleiben unberührt.</w:t>
      </w:r>
    </w:p>
    <w:p>
      <w:r>
        <w:rPr>
          <w:color w:val="555555"/>
          <w:sz w:val="17"/>
        </w:rPr>
        <w:t xml:space="preserve">Zitiervorschlag: § 1 MBVerfV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https://recht.nulegal.eu/gesetze/MBVerfV/1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