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MBPolVDVDV — Fernbleiben und Rücktritt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Bei ungenehmigtem Fernbleiben oder Rücktritt von einer Prüfung oder einem Prüfungsteil gilt diese Prüfung oder dieser Prüfungsteil als mit der Rangpunktzahl 0,00 oder als mit null Rangpunkten bewertet.</w:t>
      </w:r>
    </w:p>
    <w:p>
      <w:r>
        <w:t xml:space="preserve">(2) Bei genehmigtem Fernbleiben oder Rücktritt gilt die Prüfung oder der Prüfungsteil als nicht begonnen.</w:t>
      </w:r>
    </w:p>
    <w:p>
      <w:r>
        <w:t xml:space="preserve">(3) Über die Genehmigung entscheidet das Prüfungsamt.</w:t>
      </w:r>
    </w:p>
    <w:p>
      <w:r>
        <w:t xml:space="preserve">(4) Die Genehmigung darf nur erteilt werden, wenn ein wichtiger Grund vorliegt. Bei Erkrankung soll die Genehmigung nur erteilt werden, wenn unverzüglich ein ärztliches Attest vorgelegt wird.</w:t>
      </w:r>
    </w:p>
    <w:p>
      <w:r>
        <w:rPr>
          <w:color w:val="555555"/>
          <w:sz w:val="17"/>
        </w:rPr>
        <w:t xml:space="preserve">Zitiervorschlag: § 67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