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MBPolVDVDV — Einstellungsbehörde und Auswahlverfahren</w:t>
      </w:r>
    </w:p>
    <w:p>
      <w:r>
        <w:rPr>
          <w:color w:val="555555"/>
          <w:sz w:val="18"/>
        </w:rPr>
        <w:t xml:space="preserve">Verordnung über den Vorbereitungsdienst für den mittleren Polizeivollzugsdienst in der Bundespolizei</w:t>
      </w:r>
    </w:p>
    <w:p>
      <w:r>
        <w:rPr>
          <w:color w:val="555555"/>
          <w:sz w:val="18"/>
        </w:rPr>
        <w:t xml:space="preserve">Stand: 20.03.2020 (konsolidierte Textfassung, kein amtliches Inkrafttretensdatum)</w:t>
      </w:r>
    </w:p>
    <w:p>
      <w:r>
        <w:t xml:space="preserve">(1) Über die Einstellung in den Vorbereitungsdienst entscheidet die Bundespolizeiakademie auf der Grundlage eines Auswahlverfahrens. In diesem wird festgestellt, ob die Bewerberinnen und Bewerber nach ihren Kenntnissen, Fähigkeiten und persönlichen Eigenschaften für den Vorbereitungsdienst für den mittleren Polizeivollzugsdienst in der Bundespolizei geeignet sind.</w:t>
      </w:r>
    </w:p>
    <w:p>
      <w:r>
        <w:t xml:space="preserve">(2) Die Bundespolizeiakademie kündigt das Auswahlverfahren durch Ausschreibung an.</w:t>
      </w:r>
    </w:p>
    <w:p>
      <w:r>
        <w:t xml:space="preserve">(3) Zum Auswahlverfahren wird zugelassen, wer nach den eingereichten Unterlagen die in der Ausschreibung bestimmten Voraussetzungen erfüllt. Übersteigt die Zahl der geeigneten Bewerberinnen und Bewerber das Dreifache der Zahl der Ausbildungsplätze, so kann die Zahl der am Auswahlverfahren Teilnehmenden beschränkt werden. Es sind jedoch mindestens dreimal so viele Bewerberinnen und Bewerber zuzulassen, wie Ausbildungsplätze zur Verfügung stehen. Bei einer Beschränkung wird zugelassen, wer nach den eingereichten Unterlagen, insbesondere nach den Zeugnisnoten, am besten geeignet erscheint.</w:t>
      </w:r>
    </w:p>
    <w:p>
      <w:r>
        <w:t xml:space="preserve">(4) Wer nicht zum Auswahlverfahren zugelassen wird, erhält eine schriftliche oder elektronische Mitteilung. Die Bewerbungsunterlagen sind auf Wunsch zurückzusenden, ansonsten zu vernichten. Elektronisch eingereichte Bewerbungsunterlagen sind endgültig zu löschen.</w:t>
      </w:r>
    </w:p>
    <w:p>
      <w:r>
        <w:rPr>
          <w:color w:val="555555"/>
          <w:sz w:val="17"/>
        </w:rPr>
        <w:t xml:space="preserve">Zitiervorschlag: § 3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