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MBPolVDVDV — Allgemeine Voraussetzung für die Zulässigkeit von Abweichungen aus Anlass der COVID-19-Pandemie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03.01.2023 (konsolidierte Textfassung, kein amtliches Inkrafttretensdatum)</w:t>
      </w:r>
    </w:p>
    <w:p>
      <w:r>
        <w:t xml:space="preserve">Von den bis zum 31. Dezember 2024 befristeten Sonderregelungen dieser Verordnung darf nur Gebrauch gemacht werden, wenn dies wegen der zur Bewältigung der COVID-19-Pandemie getroffenen Maßnahmen notwendig ist.</w:t>
      </w:r>
    </w:p>
    <w:p>
      <w:r>
        <w:rPr>
          <w:color w:val="555555"/>
          <w:sz w:val="17"/>
        </w:rPr>
        <w:t xml:space="preserve">Zitiervorschlag: § 1a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