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MBPlG — Kosten der Herstellung von Kreuzungsanlagen</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(1) Werden Magnetschwebebahnen ausgebaut oder neugebaut und müssen neue Kreuzungen mit öffentlichen Verkehrswegen hergestellt oder bestehende geändert werden, so hat der Träger des Vorhabens die Kosten der Kreuzungsanlagen oder ihrer Änderung zu tragen, soweit nicht ein anderer auf Grund eines bestehenden Rechtsverhältnisses dazu verpflichtet ist.</w:t>
      </w:r>
    </w:p>
    <w:p>
      <w:r>
        <w:t xml:space="preserve">(2) Werden öffentliche Verkehrswege verändert oder neu angelegt und müssen neue Kreuzungen mit Magnetschwebebahnen hergestellt oder bestehende geändert werden, so hat der Baulastträger des öffentlichen Verkehrsweges die Kosten der Kreuzungsanlagen oder ihrer Änderung zu tragen, soweit nicht ein anderer auf Grund eines bestehenden Rechtsverhältnisses dazu verpflichtet ist.</w:t>
      </w:r>
    </w:p>
    <w:p>
      <w:r>
        <w:t xml:space="preserve">(3) Zu den Kosten neuer Kreuzungen gehören auch die Kosten der Änderungen, die durch die neue Kreuzung an dem Verkehrsweg des anderen Beteiligten unter Berücksichtigung der übersehbaren Verkehrsentwicklung notwendig sind.</w:t>
      </w:r>
    </w:p>
    <w:p>
      <w:r>
        <w:t xml:space="preserve">(4) Werden eine Magnetschwebebahn und ein öffentlicher Verkehrsweg gleichzeitig neu angelegt, so haben die Beteiligten die Kosten der Kreuzungsanlage je zur Hälfte zu tragen.</w:t>
      </w:r>
    </w:p>
    <w:p>
      <w:r>
        <w:t xml:space="preserve">(5) Wird eine Magnetschwebebahn ausgebaut und wird gleichzeitig ein öffentlicher Verkehrsweg geändert oder beseitigt, so haben die beiden Beteiligten die dadurch entstehenden Kosten in dem Verhältnis zu tragen, in dem die Kosten bei getrennter Durchführung der Maßnahmen zueinander stehen würden. Als gleichzeitig gelten die Maßnahmen, wenn beide Beteiligte sie verlangen oder hätten verlangen müssen.</w:t>
      </w:r>
    </w:p>
    <w:p>
      <w:r>
        <w:t xml:space="preserve">(6) Zu den Kosten der Kreuzungsanlage gehören die Kosten, die mit der Herstellung oder Änderung des Kreuzungsbauwerks, sowie die Kosten, die mit der durch die Kreuzung notwendig gewordenen Änderung oder Beseitigung öffentlicher Verkehrswege verbunden sind. Kommt über die Aufteilung der Kosten keine Einigung zustande, so ist hierüber im Planfeststellungsbeschluß oder bei der Erteilung der Plangenehmigung (§ 2) zu entscheiden.</w:t>
      </w:r>
    </w:p>
    <w:p>
      <w:r>
        <w:rPr>
          <w:color w:val="555555"/>
          <w:sz w:val="17"/>
        </w:rPr>
        <w:t xml:space="preserve">Zitiervorschlag: § 9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