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MBPlG — Enteignung</w:t>
      </w:r>
    </w:p>
    <w:p>
      <w:r>
        <w:rPr>
          <w:color w:val="555555"/>
          <w:sz w:val="18"/>
        </w:rPr>
        <w:t xml:space="preserve">Magnetschwebebahnplanungsgesetz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Zwecke des Baus und des Ausbaus von Betriebsanlagen der Magnetschwebebahnen ist die Enteignung zulässig, soweit sie zur Ausführung eines nach § 1 oder § 2 festgestellten oder genehmigten Bauvorhabens notwendig ist. Einer weiteren Feststellung der Zulässigkeit der Enteignung bedarf es nicht.</w:t>
      </w:r>
    </w:p>
    <w:p>
      <w:r>
        <w:t xml:space="preserve">(2) Der festgestellte oder genehmigte Plan ist dem Enteignungsverfahren zugrunde zu legen. Er ist für die Enteignungsbehörde bindend.</w:t>
      </w:r>
    </w:p>
    <w:p>
      <w:r>
        <w:t xml:space="preserve">(3) Hat sich ein Beteiligter mit der Übertragung oder Beschränkung des Eigentums oder eines anderen Rechtes schriftlich einverstanden erklärt, kann das Entschädigungsverfahren unmittelbar durchgeführt werden.</w:t>
      </w:r>
    </w:p>
    <w:p>
      <w:r>
        <w:t xml:space="preserve">(4) Im übrigen gelten die Enteignungsgesetze der Länder.</w:t>
      </w:r>
    </w:p>
    <w:p>
      <w:r>
        <w:rPr>
          <w:color w:val="555555"/>
          <w:sz w:val="17"/>
        </w:rPr>
        <w:t xml:space="preserve">Zitiervorschlag: § 7 MBPlG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