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2d MBPlG — Rechtsbehelfe</w:t>
      </w:r>
    </w:p>
    <w:p>
      <w:r>
        <w:rPr>
          <w:color w:val="555555"/>
          <w:sz w:val="18"/>
        </w:rPr>
        <w:t xml:space="preserve">Magnetschwebebahnplanungsgesetz</w:t>
      </w:r>
    </w:p>
    <w:p>
      <w:r>
        <w:rPr>
          <w:color w:val="555555"/>
          <w:sz w:val="18"/>
        </w:rPr>
        <w:t xml:space="preserve">Stand: 10.06.2019 (konsolidierte Textfassung, kein amtliches Inkrafttretensdatum)</w:t>
      </w:r>
    </w:p>
    <w:p>
      <w:r>
        <w:t xml:space="preserve">(1) § 50 Abs. 1 Nr. 6 der Verwaltungsgerichtsordnung gilt für Vorhaben nach § 1 Satz 1.</w:t>
      </w:r>
    </w:p>
    <w:p>
      <w:r>
        <w:t xml:space="preserve">(2) Die Anfechtungsklage gegen einen Planfeststellungsbeschluss oder eine Plangenehmigung für den Bau oder die Änderung von Betriebsanlagen einer Magnetschwebebahn hat keine aufschiebende Wirkung. Der Antrag auf Anordnung der aufschiebenden Wirkung der Anfechtungsklage gegen einen Planfeststellungsbeschluss oder eine Plangenehmigung nach § 80 Abs. 5 Satz 1 der Verwaltungsgerichtsordnung kann nur innerhalb eines Monats nach der Zustellung des Planfeststellungsbeschlusses oder der Plangenehmigung gestellt und begründet werden. Darauf ist in der Rechtsbehelfsbelehrung hinzuweisen. § 58 der Verwaltungsgerichtsordnung gilt entsprechend. Treten später Tatsachen ein, die die Anordnung der aufschiebenden Wirkung rechtfertigen, so kann der durch den Planfeststellungsbeschluss oder die Plangenehmigung Beschwerte einen hierauf gestützten Antrag nach § 80 Abs. 5 Satz 1 der Verwaltungsgerichtsordnung innerhalb einer Frist von einem Monat stellen und begründen. Die Frist beginnt mit dem Zeitpunkt, in dem der Beschwerte von den Tatsachen Kenntnis erlangt.</w:t>
      </w:r>
    </w:p>
    <w:p>
      <w:r>
        <w:t xml:space="preserve">(3) Der Kläger hat innerhalb einer Frist von sechs Wochen die zur Begründung seiner Klage dienenden Tatsachen und Beweismittel anzugeben. § 87b Abs. 3 der Verwaltungsgerichtsordnung gilt entsprechend.</w:t>
      </w:r>
    </w:p>
    <w:p>
      <w:r>
        <w:t xml:space="preserve">(4) (weggefallen)</w:t>
      </w:r>
    </w:p>
    <w:p>
      <w:r>
        <w:rPr>
          <w:color w:val="555555"/>
          <w:sz w:val="17"/>
        </w:rPr>
        <w:t xml:space="preserve">Zitiervorschlag: § 2d MBPlG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https://recht.nulegal.eu/gesetze/MBPlG/2d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