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2c MBPlG — Planänderung vor Fertigstellung des Vorhabens</w:t>
      </w:r>
    </w:p>
    <w:p>
      <w:r>
        <w:rPr>
          <w:color w:val="555555"/>
          <w:sz w:val="18"/>
        </w:rPr>
        <w:t xml:space="preserve">Magnetschwebebahnplanungsgesetz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Planergänzung und das ergänzende Verfahren im Sinne des § 75 Abs. 1a Satz 2 des Verwaltungsverfahrensgesetzes und für die Planänderung vor Fertigstellung des Vorhabens gilt § 76 des Verwaltungsverfahrensgesetzes mit der Maßgabe, dass im Falle des § 76 Abs. 1 des Verwaltungsverfahrensgesetzes von einer Erörterung im Sinne des § 73 Abs. 6 des Verwaltungsverfahrensgesetzes und des § 18 Absatz 1 Satz 4 des Gesetzes über die Umweltverträglichkeitsprüfung abgesehen werden kann. Im Übrigen gelten für das neue Verfahren die Vorschriften dieses Gesetzes.</w:t>
      </w:r>
    </w:p>
    <w:p>
      <w:r>
        <w:rPr>
          <w:color w:val="555555"/>
          <w:sz w:val="17"/>
        </w:rPr>
        <w:t xml:space="preserve">Zitiervorschlag: § 2c MBPlG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https://recht.nulegal.eu/gesetze/MBPlG/2c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