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MBPlG — Anhörungsverfahren</w:t>
      </w:r>
    </w:p>
    <w:p>
      <w:r>
        <w:rPr>
          <w:color w:val="555555"/>
          <w:sz w:val="18"/>
        </w:rPr>
        <w:t xml:space="preserve">Magnetschwebebahnplanungsgesetz</w:t>
      </w:r>
    </w:p>
    <w:p>
      <w:r>
        <w:rPr>
          <w:color w:val="555555"/>
          <w:sz w:val="18"/>
        </w:rPr>
        <w:t xml:space="preserve">Stand: 10.06.2019 (konsolidierte Textfassung, kein amtliches Inkrafttretensdatum)</w:t>
      </w:r>
    </w:p>
    <w:p>
      <w:r>
        <w:t xml:space="preserve">Für das Anhörungsverfahren gilt § 73 des Verwaltungsverfahrensgesetzes mit folgenden Maßgaben:</w:t>
      </w:r>
    </w:p>
    <w:p>
      <w:pPr>
        <w:ind w:left="420"/>
      </w:pPr>
      <w:r>
        <w:t xml:space="preserve">1. Die Anhörungsbehörde kann auf eine Erörterung verzichten. Findet keine Erörterung statt, so hat die Anhörungsbehörde ihre Stellungnahme innerhalb von sechs Wochen nach Ablauf der Einwendungsfrist abzugeben und zusammen mit den sonstigen in § 73 Absatz 9 des Verwaltungsverfahrensgesetzes aufgeführten Unterlagen der Planfeststellungsbehörde zuzuleiten.</w:t>
      </w:r>
    </w:p>
    <w:p>
      <w:pPr>
        <w:ind w:left="420"/>
      </w:pPr>
      <w:r>
        <w:t xml:space="preserve">2. Soll ein ausgelegter Plan geändert werden, so kann im Regelfall von der Erörterung im Sinne des § 73 Absatz 6 des Verwaltungsverfahrensgesetzes und des § 18 Absatz 1 Satz 4 des Gesetzes über die Umweltverträglichkeitsprüfung abgesehen werden.</w:t>
      </w:r>
    </w:p>
    <w:p>
      <w:r>
        <w:rPr>
          <w:color w:val="555555"/>
          <w:sz w:val="17"/>
        </w:rPr>
        <w:t xml:space="preserve">Zitiervorschlag: § 2 MBPlG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