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MBPlG — Übergangsregelung für Planungen</w:t>
      </w:r>
    </w:p>
    <w:p>
      <w:r>
        <w:rPr>
          <w:color w:val="555555"/>
          <w:sz w:val="18"/>
        </w:rPr>
        <w:t xml:space="preserve">Magnetschwebebahnplanungsgesetz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dem 17. Dezember 2006 beantragte Planfeststellungsverfahren oder Plangenehmigungsverfahren werden nach den Vorschriften dieses Gesetzes in der ab dem 17. Dezember 2006 geltenden Fassung weitergeführt.</w:t>
      </w:r>
    </w:p>
    <w:p>
      <w:r>
        <w:t xml:space="preserve">(2) § 2b gilt auch für Planfeststellungsbeschlüsse und Plangenehmigungen, die vor dem 17. Dezember 2006 erlassen worden sind, soweit der Plan noch nicht außer Kraft getreten ist.</w:t>
      </w:r>
    </w:p>
    <w:p>
      <w:r>
        <w:rPr>
          <w:color w:val="555555"/>
          <w:sz w:val="17"/>
        </w:rPr>
        <w:t xml:space="preserve">Zitiervorschlag: § 12 MBPlG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