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MBPlG — Rechtsverordnungen</w:t>
      </w:r>
    </w:p>
    <w:p>
      <w:r>
        <w:rPr>
          <w:color w:val="555555"/>
          <w:sz w:val="18"/>
        </w:rPr>
        <w:t xml:space="preserve">Magnetschwebebahnplanungsgesetz</w:t>
      </w:r>
    </w:p>
    <w:p>
      <w:r>
        <w:rPr>
          <w:color w:val="555555"/>
          <w:sz w:val="18"/>
        </w:rPr>
        <w:t xml:space="preserve">Stand: 01.10.2021 (konsolidierte Textfassung, kein amtliches Inkrafttretensdatum)</w:t>
      </w:r>
    </w:p>
    <w:p>
      <w:r>
        <w:t xml:space="preserve">(1) Das Bundesministerium für Verkehr und digitale Infrastruktur wird ermächtigt, mit Zustimmung des Bundesrates zur Gewährleistung der Sicherheit und Ordnung im Magnetschwebebahnverkehr, zur Gewährleistung des Umweltschutzes oder zum Schutz von Leben und Gesundheit der Arbeitnehmer Rechtsverordnungen über den Bau und den Betrieb von Magnetschwebebahnen zu erlassen sowie die Anforderungen an Bau, Ausrüstung und Betriebsweise nach den Erfordernissen der Sicherheit, nach den neuesten Erkenntnissen der Technik und nach internationalen Abmachungen einheitlich zu regeln.</w:t>
      </w:r>
    </w:p>
    <w:p>
      <w:r>
        <w:t xml:space="preserve">(2) Rechtsverordnungen nach Absatz 1 werden, soweit sie den Umweltschutz betreffen, vom Bundesministerium für Verkehr und digitale Infrastruktur und vom Bundesministerium für Umwelt, Naturschutz und nukleare Sicherheit erlassen. Rechtsverordnungen nach Absatz 1 zum Schutz von Leben und Gesundheit der Arbeitnehmer werden im Einvernehmen mit dem Bundesministerium für Wirtschaft und Energie erlassen.</w:t>
      </w:r>
    </w:p>
    <w:p>
      <w:r>
        <w:rPr>
          <w:color w:val="555555"/>
          <w:sz w:val="17"/>
        </w:rPr>
        <w:t xml:space="preserve">Zitiervorschlag: § 11 MBPlG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https://recht.nulegal.eu/gesetze/MBPlG/11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