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MBPlG — Erfordernis der Planfeststellung</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Magnetschwebebahnstrecken einschließlich der für den Betrieb notwendigen Anlagen (Betriebsanlagen einer Magnetschwebebahn) dürfen nur gebaut oder geändert werden, wenn der Plan vorher festgestellt ist. Bei der Planfeststellung sind die von dem Vorhaben berührten öffentlichen und privaten Belange einschließlich der Umweltverträglichkeit im Rahmen der Abwägung zu berücksichtigen. Für das Planfeststellungsverfahren gelten die §§ 72 bis 78 des Verwaltungsverfahrensgesetzes nach Maßgabe dieses Gesetzes.</w:t>
      </w:r>
    </w:p>
    <w:p>
      <w:r>
        <w:t xml:space="preserve">(2) Das Eisenbahn-Bundesamt ist Planfeststellungsbehörde und Bauaufsichtsbehörde für Betriebsanlagen von Magnetschwebebahnen.</w:t>
      </w:r>
    </w:p>
    <w:p>
      <w:r>
        <w:rPr>
          <w:color w:val="555555"/>
          <w:sz w:val="17"/>
        </w:rPr>
        <w:t xml:space="preserve">Zitiervorschlag: § 1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