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MAR — Insiderinformationen</w:t>
      </w:r>
    </w:p>
    <w:p>
      <w:r>
        <w:rPr>
          <w:color w:val="555555"/>
          <w:sz w:val="18"/>
        </w:rPr>
        <w:t xml:space="preserve">MAR</w:t>
      </w:r>
    </w:p>
    <w:p>
      <w:r>
        <w:rPr>
          <w:color w:val="555555"/>
          <w:sz w:val="18"/>
        </w:rPr>
        <w:t xml:space="preserve">Stand: 22.07.2026 (konsolidierte Textfassung, kein amtliches Inkrafttretensdatum)</w:t>
      </w:r>
    </w:p>
    <w:p>
      <w:r>
        <w:t xml:space="preserve">(1) Für die Zwecke dieser Verordnung umfasst der Begriff „Insiderinformationen“ folgende Arten von Informationen:</w:t>
      </w:r>
    </w:p>
    <w:p>
      <w:r>
        <w:t xml:space="preserve">a) nicht öffentlich bekannte präzise Informationen, die direkt oder indirekt einen oder mehrere Emittenten oder ein oder mehrere Finanzinstrumente betreffen und die, wenn sie öffentlich bekannt würden, geeignet wären, den Kurs dieser Finanzinstrumente oder den Kurs damit verbundener derivativer Finanzinstrumente erheblich zu beeinflussen;</w:t>
      </w:r>
    </w:p>
    <w:p>
      <w:r>
        <w:t xml:space="preserve">b) in Bezug auf Warenderivate nicht öffentlich bekannte präzise Informationen, die direkt oder indirekt ein oder mehrere Derivate dieser Art oder direkt damit verbundene Waren-Spot-Kontrakte betreffen und die, wenn sie öffentlich bekannt würden, geeignet wären, den Kurs dieser Derivate oder damit verbundener Waren-Spot-Kontrakte erheblich zu beeinflussen, und bei denen es sich um solche Informationen handelt, die nach Rechts- und Verwaltungsvorschriften der Union oder der Mitgliedstaaten, Handelsregeln, Verträgen, Praktiken oder Regeln auf dem betreffenden Warenderivate- oder Spotmarkt offengelegt werden müssen bzw. deren Offenlegung nach vernünftigem Ermessen erwartet werden kann;</w:t>
      </w:r>
    </w:p>
    <w:p>
      <w:r>
        <w:t xml:space="preserve">c) in Bezug auf Emissionszertifikate oder darauf beruhende Auktionsobjekte nicht öffentlich bekannte präzise Informationen, die direkt oder indirekt ein oder mehrere Finanzinstrumente dieser Art betreffen und die, wenn sie öffentlich bekannt würden, geeignet wären, den Kurs dieser Finanzinstrumente oder damit verbundener derivativer Finanzinstrumente erheblich zu beeinflussen;</w:t>
      </w:r>
    </w:p>
    <w:p>
      <w:r>
        <w:t xml:space="preserve">d) Informationen, die von einem Kunden oder von anderen im Namen des Kunden handelnden Personen mitgeteilt werden, oder Informationen, die aufgrund der Verwaltung eines Eigenhandelskontos oder eines verwalteten Fonds bekannt sind und sich auf die noch nicht ausgeführten Aufträge des Kunden in Bezug auf Finanzinstrumente beziehen, die präzise sind, direkt oder indirekt einen oder mehrere Emittenten oder ein oder mehrere Finanzinstrumente betreffen und die, wenn sie öffentlich bekannt würden, geeignet wären, den Kurs dieser Finanzinstrumente, damit verbundener Waren-Spot-Kontrakte oder zugehöriger derivativer Finanzinstrumente erheblich zu beeinflussen.</w:t>
      </w:r>
    </w:p>
    <w:p>
      <w:r>
        <w:t xml:space="preserve">(2) Für die Zwecke des Absatzes 1 sind Informationen dann als präzise anzusehen, wenn damit eine Reihe von Umständen gemeint ist, die bereits gegeben sind oder bei denen man vernünftigerweise erwarten kann, dass sie in Zukunft gegeben sein werden, oder ein Ereignis, das bereits eingetreten ist oder von den vernünftigerweise erwarten kann, dass es in Zukunft eintreten wird, und diese Informationen darüber hinaus spezifisch genug sind, um einen Schluss auf die mögliche Auswirkung dieser Reihe von Umständen oder dieses Ereignisses auf die Kurse der Finanzinstrumente oder des damit verbundenen derivativen Finanzinstruments, der damit verbundenen Waren-Spot-Kontrakte oder der auf den Emissionszertifikaten beruhenden Auktionsobjekte zuzulassen. So können im Fall eines zeitlich gestreckten Vorgangs, der einen bestimmten Umstand oder ein bestimmtes Ereignis herbeiführen soll oder hervorbringt, dieser betreffende zukünftige Umstand bzw. das betreffende zukünftige Ereignis und auch die Zwischenschritte in diesem Vorgang, die mit der Herbeiführung oder Hervorbringung dieses zukünftigen Umstandes oder Ereignisses verbunden sind, in dieser Hinsicht als präzise Information betrachtet werden.</w:t>
      </w:r>
    </w:p>
    <w:p>
      <w:r>
        <w:t xml:space="preserve">(3) Ein Zwischenschritt in einem gestreckten Vorgang wird als eine Insiderinformation betrachtet, falls er für sich genommen die Kriterien für Insiderinformationen gemäß diesem Artikel erfüllt.</w:t>
      </w:r>
    </w:p>
    <w:p>
      <w:r>
        <w:t xml:space="preserve">(4) Für die Zwecke des Absatzes 1 ist sind unter „Informationen, die, wenn sie öffentlich bekannt würden, geeignet wären, den Kurs von Finanzinstrumenten, derivativen Finanzinstrumenten, damit verbundenen Waren-Spot-Kontrakten oder auf Emissionszertifikaten beruhenden Auktionsobjekten spürbar zu beeinflussen“ Informationen zu verstehen, die ein verständiger Anleger wahrscheinlich als Teil der Grundlage seiner Anlageentscheidungen nutzen würde.</w:t>
      </w:r>
    </w:p>
    <w:p>
      <w:r>
        <w:t xml:space="preserve">Im Fall von Teilnehmern am Markt für Emissionszertifikate mit aggregierten Emissionen oder einer thermischen Nennleistung in Höhe oder unterhalb des gemäß Artikel 17 Absatz 2 Unterabsatz 2 festgelegten Schwellenwerts wird von den Informationen über die physischen Aktivitäten dieser Teilnehmer angenommen, dass sie keine erheblichen Auswirkungen auf die Preise der Emissionszertifikate und der auf diesen beruhenden Auktionsobjekte oder auf damit verbundene Finanzinstrumente haben.</w:t>
      </w:r>
    </w:p>
    <w:p>
      <w:r>
        <w:t xml:space="preserve">(5) Die ESMA gibt Leitlinien für die Erstellung einer nicht erschöpfenden indikativen Liste von Informationen gemäß Absatz 1 Buchstabe b heraus, deren Offenlegung nach vernünftigem Ermessen erwartet werden kann oder die nach Rechts- und Verwaltungsvorschriften des Unionsrechts oder des nationalen Rechts, Handelsregeln, Verträgen, Praktiken oder Regeln auf den in Absatz 1 Buchstabe b genannten betreffenden Warenderivate- oder Spotmärkten offengelegt werden müssen. Die ESMA trägt den Besonderheiten dieser Märkte gebührend Rechnung.</w:t>
      </w:r>
    </w:p>
    <w:p>
      <w:r>
        <w:rPr>
          <w:color w:val="555555"/>
          <w:sz w:val="17"/>
        </w:rPr>
        <w:t xml:space="preserve">Zitiervorschlag: Art 7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